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>
      <w:pPr>
        <w:autoSpaceDE w:val="0"/>
        <w:ind w:firstLine="360"/>
        <w:jc w:val="both"/>
        <w:rPr>
          <w:sz w:val="12"/>
          <w:szCs w:val="12"/>
        </w:rPr>
      </w:pPr>
    </w:p>
    <w:p>
      <w:pPr>
        <w:autoSpaceDE w:val="0"/>
        <w:autoSpaceDN w:val="0"/>
        <w:adjustRightInd w:val="0"/>
        <w:ind w:firstLine="540"/>
        <w:jc w:val="both"/>
        <w:rPr>
          <w:b/>
          <w:sz w:val="16"/>
          <w:szCs w:val="16"/>
        </w:rPr>
      </w:pPr>
    </w:p>
    <w:p>
      <w:pPr>
        <w:ind w:firstLine="567"/>
        <w:jc w:val="both"/>
        <w:rPr>
          <w:b/>
          <w:i/>
          <w:sz w:val="26"/>
          <w:szCs w:val="26"/>
          <w:lang w:eastAsia="ru-RU"/>
        </w:rPr>
      </w:pPr>
      <w:r>
        <w:rPr>
          <w:b/>
          <w:i/>
          <w:sz w:val="26"/>
          <w:szCs w:val="26"/>
          <w:lang w:eastAsia="ru-RU"/>
        </w:rPr>
        <w:t xml:space="preserve">Повышенная фиксированная выплата к страховой пенсии пенсионерам детей школьников или студентов, достигших 18 лет,  временно продлевается автоматически. </w:t>
      </w:r>
    </w:p>
    <w:p>
      <w:pPr>
        <w:ind w:firstLine="567"/>
        <w:jc w:val="both"/>
        <w:rPr>
          <w:b/>
          <w:sz w:val="16"/>
          <w:szCs w:val="16"/>
          <w:lang w:eastAsia="ru-RU"/>
        </w:rPr>
      </w:pP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 связи со сложившейся эпидемиологической ситуацией и для предотвращения распространения коронавирусной инфекции специалисты органов ПФР ряд выплат, которые по Закону должны подтверждаться определенными документами,  в период с 30 марта по 30 июня текущего года продлевают автоматически.  К таким выплатам относится и фиксированная выплата к страховой пенсии (по старости и инвалидности) пенсионерам, у которых на иждивении находятся нетрудоспособные члены семьи.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По Закону нетрудоспособными членами семьи признаются, в частности, дети, братья, сестры и внуки, не достигшие возраста 18 лет, а также дети, обучающиеся по очной форме обучения в образовательных учреждениях всех типов и видов, в том числе и за пределами России. Фиксированная выплата к пенсии за обучающихся устанавливается до окончания обучения, но не дольше чем до достижения ими возраста 23 лет или старше этого возраста, если они до достижения возраста 18 лет стали инвалидами.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Напомним, что на детей до 18 лет повышенная фиксированная выплата к страховой пенсии родителей устанавливается независимо от факта учебы.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По достижении иждивенцем возраста 18 лет получателю страховой пенсии, для дальнейшего установления повышения фиксированной выплаты (по заявлению о перерасчете пенсии), необходимо подтвердить обучение ребенка после достижения им возраста 18 лет и факт его нахождения на иждивении на указанный возраст.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 период ограничительных мер  продление повышенной фиксированной выплаты за иждивенцев,  достигших  18 лет  в апреле и мае текущего года, производится автоматически без предъявления пенсионером соответствующих документов. Данная выплата продлевается до 30 июня текущего года в том случае, если ребенок (дети) продолжает обучение (факт подтверждается посредством телефонной связи) и отсутствует факт работы на основании сведений, имеющихся в территориальном органе ПФР.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На сегодняшний день общеустановленный размер фиксированной выплаты составляет 5686 рубля 25 коп. В повышенном размере при наличии на иждивении одного ребенка размер  фиксированной выплаты составляет 7581 рубль 67 копеек в месяц. Причем на увеличение фиксированной выплаты к страховой пенсии имеют право оба родителя одновременно, в случае подтверждения нахождения на их иждивении ребенка-студента.</w:t>
      </w:r>
    </w:p>
    <w:p>
      <w:pPr>
        <w:pStyle w:val="af6"/>
        <w:ind w:firstLine="567"/>
        <w:jc w:val="both"/>
        <w:rPr>
          <w:sz w:val="26"/>
          <w:szCs w:val="26"/>
        </w:rPr>
      </w:pPr>
      <w:bookmarkStart w:id="0" w:name="_GoBack"/>
      <w:bookmarkEnd w:id="0"/>
    </w:p>
    <w:sectPr>
      <w:pgSz w:w="11906" w:h="16838"/>
      <w:pgMar w:top="851" w:right="851" w:bottom="73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0.9pt;height:10.05pt" o:bullet="t" filled="t">
        <v:fill color2="black"/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65535"/>
      <w:numFmt w:val="bullet"/>
      <w:lvlText w:val=""/>
      <w:lvlJc w:val="left"/>
      <w:pPr>
        <w:tabs>
          <w:tab w:val="num" w:pos="120"/>
        </w:tabs>
        <w:ind w:left="120" w:firstLine="0"/>
      </w:pPr>
      <w:rPr>
        <w:rFonts w:ascii="Wingdings" w:hAnsi="Wingdings"/>
        <w:color w:val="0082B0"/>
      </w:rPr>
    </w:lvl>
  </w:abstractNum>
  <w:abstractNum w:abstractNumId="2">
    <w:nsid w:val="05D85BD8"/>
    <w:multiLevelType w:val="hybridMultilevel"/>
    <w:tmpl w:val="7C6CCA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5C01E9"/>
    <w:multiLevelType w:val="hybridMultilevel"/>
    <w:tmpl w:val="108C5094"/>
    <w:lvl w:ilvl="0" w:tplc="2E74A456">
      <w:start w:val="11"/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C4C6949"/>
    <w:multiLevelType w:val="hybridMultilevel"/>
    <w:tmpl w:val="B3B4A04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0C9F68C9"/>
    <w:multiLevelType w:val="hybridMultilevel"/>
    <w:tmpl w:val="57B660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F710CFC"/>
    <w:multiLevelType w:val="multilevel"/>
    <w:tmpl w:val="B824F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933D98"/>
    <w:multiLevelType w:val="hybridMultilevel"/>
    <w:tmpl w:val="53764BA2"/>
    <w:lvl w:ilvl="0" w:tplc="0419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>
    <w:nsid w:val="287670CE"/>
    <w:multiLevelType w:val="hybridMultilevel"/>
    <w:tmpl w:val="C32ACE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ECA142C"/>
    <w:multiLevelType w:val="multilevel"/>
    <w:tmpl w:val="3F343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11D2B8F"/>
    <w:multiLevelType w:val="hybridMultilevel"/>
    <w:tmpl w:val="7006075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412A2638"/>
    <w:multiLevelType w:val="hybridMultilevel"/>
    <w:tmpl w:val="CECC05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22B3A8D"/>
    <w:multiLevelType w:val="hybridMultilevel"/>
    <w:tmpl w:val="C28CF3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57B4806"/>
    <w:multiLevelType w:val="hybridMultilevel"/>
    <w:tmpl w:val="95D474E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458D6576"/>
    <w:multiLevelType w:val="multilevel"/>
    <w:tmpl w:val="711A7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6F143C2"/>
    <w:multiLevelType w:val="hybridMultilevel"/>
    <w:tmpl w:val="4C1EA9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9C30066"/>
    <w:multiLevelType w:val="hybridMultilevel"/>
    <w:tmpl w:val="AF90A9C6"/>
    <w:lvl w:ilvl="0" w:tplc="833AEB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4B780B77"/>
    <w:multiLevelType w:val="hybridMultilevel"/>
    <w:tmpl w:val="EEE6B5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52320936"/>
    <w:multiLevelType w:val="hybridMultilevel"/>
    <w:tmpl w:val="0B7E57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9C11474"/>
    <w:multiLevelType w:val="hybridMultilevel"/>
    <w:tmpl w:val="97F89DC0"/>
    <w:lvl w:ilvl="0" w:tplc="041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5BAD3525"/>
    <w:multiLevelType w:val="hybridMultilevel"/>
    <w:tmpl w:val="13C0F0FA"/>
    <w:lvl w:ilvl="0" w:tplc="041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5D926555"/>
    <w:multiLevelType w:val="hybridMultilevel"/>
    <w:tmpl w:val="568E17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60B6634F"/>
    <w:multiLevelType w:val="hybridMultilevel"/>
    <w:tmpl w:val="CB68F89C"/>
    <w:lvl w:ilvl="0" w:tplc="028AC36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D2000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8BF2A3E"/>
    <w:multiLevelType w:val="hybridMultilevel"/>
    <w:tmpl w:val="CFFEB9E2"/>
    <w:lvl w:ilvl="0" w:tplc="CF1269A2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6FF012EB"/>
    <w:multiLevelType w:val="hybridMultilevel"/>
    <w:tmpl w:val="DC96245E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73E55DCE"/>
    <w:multiLevelType w:val="multilevel"/>
    <w:tmpl w:val="EA16D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ADB0692"/>
    <w:multiLevelType w:val="multilevel"/>
    <w:tmpl w:val="60E82A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20"/>
  </w:num>
  <w:num w:numId="4">
    <w:abstractNumId w:val="24"/>
  </w:num>
  <w:num w:numId="5">
    <w:abstractNumId w:val="25"/>
  </w:num>
  <w:num w:numId="6">
    <w:abstractNumId w:val="1"/>
  </w:num>
  <w:num w:numId="7">
    <w:abstractNumId w:val="23"/>
  </w:num>
  <w:num w:numId="8">
    <w:abstractNumId w:val="2"/>
  </w:num>
  <w:num w:numId="9">
    <w:abstractNumId w:val="18"/>
  </w:num>
  <w:num w:numId="10">
    <w:abstractNumId w:val="21"/>
  </w:num>
  <w:num w:numId="11">
    <w:abstractNumId w:val="11"/>
  </w:num>
  <w:num w:numId="12">
    <w:abstractNumId w:val="13"/>
  </w:num>
  <w:num w:numId="13">
    <w:abstractNumId w:val="14"/>
  </w:num>
  <w:num w:numId="14">
    <w:abstractNumId w:val="26"/>
  </w:num>
  <w:num w:numId="15">
    <w:abstractNumId w:val="19"/>
  </w:num>
  <w:num w:numId="16">
    <w:abstractNumId w:val="15"/>
  </w:num>
  <w:num w:numId="17">
    <w:abstractNumId w:val="12"/>
  </w:num>
  <w:num w:numId="18">
    <w:abstractNumId w:val="17"/>
  </w:num>
  <w:num w:numId="19">
    <w:abstractNumId w:val="3"/>
  </w:num>
  <w:num w:numId="20">
    <w:abstractNumId w:val="16"/>
  </w:num>
  <w:num w:numId="21">
    <w:abstractNumId w:val="6"/>
  </w:num>
  <w:num w:numId="22">
    <w:abstractNumId w:val="22"/>
  </w:num>
  <w:num w:numId="23">
    <w:abstractNumId w:val="10"/>
  </w:num>
  <w:num w:numId="24">
    <w:abstractNumId w:val="8"/>
  </w:num>
  <w:num w:numId="25">
    <w:abstractNumId w:val="4"/>
  </w:num>
  <w:num w:numId="26">
    <w:abstractNumId w:val="9"/>
  </w:num>
  <w:num w:numId="27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</w:style>
  <w:style w:type="character" w:customStyle="1" w:styleId="b-share-form-buttonb-share-form-buttonshare">
    <w:name w:val="b-share-form-button b-share-form-button_share"/>
    <w:basedOn w:val="a0"/>
  </w:style>
  <w:style w:type="paragraph" w:styleId="22">
    <w:name w:val="Body Text Indent 2"/>
    <w:basedOn w:val="a"/>
    <w:link w:val="2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Pr>
      <w:sz w:val="24"/>
      <w:szCs w:val="24"/>
      <w:lang w:eastAsia="ar-SA"/>
    </w:rPr>
  </w:style>
  <w:style w:type="paragraph" w:styleId="31">
    <w:name w:val="Body Text Indent 3"/>
    <w:basedOn w:val="a"/>
    <w:link w:val="3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Pr>
      <w:sz w:val="16"/>
      <w:szCs w:val="16"/>
      <w:lang w:eastAsia="ar-SA"/>
    </w:rPr>
  </w:style>
  <w:style w:type="paragraph" w:customStyle="1" w:styleId="15">
    <w:name w:val="Абзац списка1"/>
    <w:basedOn w:val="a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</w:style>
  <w:style w:type="character" w:customStyle="1" w:styleId="ratingtypeplusminusignore-selectratingzero">
    <w:name w:val="ratingtypeplusminus ignore-select ratingzero"/>
    <w:basedOn w:val="a0"/>
  </w:style>
  <w:style w:type="paragraph" w:styleId="24">
    <w:name w:val="Body Text 2"/>
    <w:basedOn w:val="a"/>
    <w:link w:val="25"/>
    <w:pPr>
      <w:spacing w:after="120" w:line="480" w:lineRule="auto"/>
    </w:pPr>
  </w:style>
  <w:style w:type="character" w:customStyle="1" w:styleId="25">
    <w:name w:val="Основной текст 2 Знак"/>
    <w:link w:val="24"/>
    <w:rPr>
      <w:sz w:val="24"/>
      <w:szCs w:val="24"/>
      <w:lang w:eastAsia="ar-SA"/>
    </w:rPr>
  </w:style>
  <w:style w:type="paragraph" w:styleId="af5">
    <w:name w:val="Normal Indent"/>
    <w:basedOn w:val="a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</w:style>
  <w:style w:type="paragraph" w:customStyle="1" w:styleId="af7">
    <w:name w:val="Текст новости"/>
    <w:link w:val="af8"/>
    <w:qFormat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</w:style>
  <w:style w:type="character" w:customStyle="1" w:styleId="textexposedshow">
    <w:name w:val="text_exposed_show"/>
  </w:style>
  <w:style w:type="paragraph" w:customStyle="1" w:styleId="18">
    <w:name w:val="Обычный отступ1"/>
    <w:basedOn w:val="a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</w:style>
  <w:style w:type="character" w:customStyle="1" w:styleId="b-share-form-buttonb-share-form-buttonshare">
    <w:name w:val="b-share-form-button b-share-form-button_share"/>
    <w:basedOn w:val="a0"/>
  </w:style>
  <w:style w:type="paragraph" w:styleId="22">
    <w:name w:val="Body Text Indent 2"/>
    <w:basedOn w:val="a"/>
    <w:link w:val="2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Pr>
      <w:sz w:val="24"/>
      <w:szCs w:val="24"/>
      <w:lang w:eastAsia="ar-SA"/>
    </w:rPr>
  </w:style>
  <w:style w:type="paragraph" w:styleId="31">
    <w:name w:val="Body Text Indent 3"/>
    <w:basedOn w:val="a"/>
    <w:link w:val="3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Pr>
      <w:sz w:val="16"/>
      <w:szCs w:val="16"/>
      <w:lang w:eastAsia="ar-SA"/>
    </w:rPr>
  </w:style>
  <w:style w:type="paragraph" w:customStyle="1" w:styleId="15">
    <w:name w:val="Абзац списка1"/>
    <w:basedOn w:val="a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</w:style>
  <w:style w:type="character" w:customStyle="1" w:styleId="ratingtypeplusminusignore-selectratingzero">
    <w:name w:val="ratingtypeplusminus ignore-select ratingzero"/>
    <w:basedOn w:val="a0"/>
  </w:style>
  <w:style w:type="paragraph" w:styleId="24">
    <w:name w:val="Body Text 2"/>
    <w:basedOn w:val="a"/>
    <w:link w:val="25"/>
    <w:pPr>
      <w:spacing w:after="120" w:line="480" w:lineRule="auto"/>
    </w:pPr>
  </w:style>
  <w:style w:type="character" w:customStyle="1" w:styleId="25">
    <w:name w:val="Основной текст 2 Знак"/>
    <w:link w:val="24"/>
    <w:rPr>
      <w:sz w:val="24"/>
      <w:szCs w:val="24"/>
      <w:lang w:eastAsia="ar-SA"/>
    </w:rPr>
  </w:style>
  <w:style w:type="paragraph" w:styleId="af5">
    <w:name w:val="Normal Indent"/>
    <w:basedOn w:val="a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</w:style>
  <w:style w:type="paragraph" w:customStyle="1" w:styleId="af7">
    <w:name w:val="Текст новости"/>
    <w:link w:val="af8"/>
    <w:qFormat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</w:style>
  <w:style w:type="character" w:customStyle="1" w:styleId="textexposedshow">
    <w:name w:val="text_exposed_show"/>
  </w:style>
  <w:style w:type="paragraph" w:customStyle="1" w:styleId="18">
    <w:name w:val="Обычный отступ1"/>
    <w:basedOn w:val="a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6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5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15672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2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847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755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785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9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5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3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91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8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0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2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9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4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3640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531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755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797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4115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408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3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60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94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1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3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15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46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4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21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66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4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50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542027">
                      <w:marLeft w:val="0"/>
                      <w:marRight w:val="0"/>
                      <w:marTop w:val="14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238463">
                          <w:marLeft w:val="2100"/>
                          <w:marRight w:val="21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036421">
                              <w:marLeft w:val="0"/>
                              <w:marRight w:val="0"/>
                              <w:marTop w:val="0"/>
                              <w:marBottom w:val="8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049002">
                                  <w:marLeft w:val="0"/>
                                  <w:marRight w:val="0"/>
                                  <w:marTop w:val="0"/>
                                  <w:marBottom w:val="7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808237">
                              <w:marLeft w:val="0"/>
                              <w:marRight w:val="0"/>
                              <w:marTop w:val="0"/>
                              <w:marBottom w:val="11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45689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20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8325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8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9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0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6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1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93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34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09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4641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7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064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54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0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2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7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0BAC4F-66C0-4A24-B784-0F1F89B38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Владельцы сертификатов на материнский капитал направили 7 млн</vt:lpstr>
    </vt:vector>
  </TitlesOfParts>
  <Company>OPFR</Company>
  <LinksUpToDate>false</LinksUpToDate>
  <CharactersWithSpaces>2405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Владельцы сертификатов на материнский капитал направили 7 млн</dc:title>
  <dc:creator>OPFR</dc:creator>
  <cp:lastModifiedBy>Поломошная Наталья Андреевна</cp:lastModifiedBy>
  <cp:revision>5</cp:revision>
  <cp:lastPrinted>2020-05-22T06:19:00Z</cp:lastPrinted>
  <dcterms:created xsi:type="dcterms:W3CDTF">2020-05-22T06:23:00Z</dcterms:created>
  <dcterms:modified xsi:type="dcterms:W3CDTF">2020-05-25T02:27:00Z</dcterms:modified>
</cp:coreProperties>
</file>