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Более 880 миллионов рублей  на образование детей за счет средств материнского капитала 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Свыше 880 миллионов рублей направлено органами ПФР по Новосибирской области на оплату образовательных услуг для детей за счет средств материнского (семейного) капитала.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Новосибирцы все чаще направляют средства материнского (семейного) капитала на образование ребенка (детей). Напомним, что средствами  материнского капитала можно оплатить учебу в вузе, </w:t>
      </w:r>
      <w:proofErr w:type="spellStart"/>
      <w:r>
        <w:rPr>
          <w:spacing w:val="6"/>
          <w:sz w:val="26"/>
          <w:szCs w:val="26"/>
        </w:rPr>
        <w:t>ссузе</w:t>
      </w:r>
      <w:proofErr w:type="spellEnd"/>
      <w:r>
        <w:rPr>
          <w:spacing w:val="6"/>
          <w:sz w:val="26"/>
          <w:szCs w:val="26"/>
        </w:rPr>
        <w:t xml:space="preserve">, автошколе, проживание в общежитии, предоставляемом организацией </w:t>
      </w:r>
      <w:proofErr w:type="gramStart"/>
      <w:r>
        <w:rPr>
          <w:spacing w:val="6"/>
          <w:sz w:val="26"/>
          <w:szCs w:val="26"/>
        </w:rPr>
        <w:t>обучающимся</w:t>
      </w:r>
      <w:proofErr w:type="gramEnd"/>
      <w:r>
        <w:rPr>
          <w:spacing w:val="6"/>
          <w:sz w:val="26"/>
          <w:szCs w:val="26"/>
        </w:rPr>
        <w:t xml:space="preserve"> на период обучения, содержание ребенка (детей) в детском саду, в том числе и частном. Всего с начала действия Программы материнского (семейного) капитала на эти цели органами ПФР региона направлено свыше 881,4 млн. рублей, в текущем году - около 70 млн. рублей.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Чтобы использовать средства материнского капитала на получение высшего или  среднего специального образования необходимо, чтобы ребенку, в связи с появлением которого возникло  право на капитал, исполнилось  3 года. Оплатить же детский сад материнским капиталом можно, и не дожидаясь,  трехлетия ребенка. Это можно сделать в любое необходимое для родителей время. Средства можно направить одновременно на оплату за двоих или троих детей, вне зависимости от их очередности и возраста, например, сразу за младшего ребенка, и за старшего, если он ходит в детский сад. Можно также средствами капитала оплатить услуги, связанные с содержанием и образованием в дошкольном учреждении одного старшего ребенка, не дожидаясь, когда новорожденный подрастет.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Есть несколько способов подачи заявления на распоряжение средствами </w:t>
      </w:r>
      <w:proofErr w:type="gramStart"/>
      <w:r>
        <w:rPr>
          <w:spacing w:val="6"/>
          <w:sz w:val="26"/>
          <w:szCs w:val="26"/>
        </w:rPr>
        <w:t>МСК</w:t>
      </w:r>
      <w:proofErr w:type="gramEnd"/>
      <w:r>
        <w:rPr>
          <w:spacing w:val="6"/>
          <w:sz w:val="26"/>
          <w:szCs w:val="26"/>
        </w:rPr>
        <w:t xml:space="preserve"> на образование детей: через филиалы МФЦ, в территориальный орган ПФР (по предварительной записи). К заявлению необходимо приложить договор между образовательной организацией и владельцем сертификата. Договор должен включать обязательства организации по содержанию ребенка и (или) присмотру и уходу за ним, а также  расчет размера платы за это.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Направить заявление можно и в электронном виде через Личный кабинет на сайте ПФР либо портал госуслуг.  В этом случае заявителю следует  в течение 5 рабочих дней представить необходимые документы в территориальное управление ПФР. Полный перечень документов можно найти на сайте Пенсионного фонда России в разделе «Получателям </w:t>
      </w:r>
      <w:proofErr w:type="gramStart"/>
      <w:r>
        <w:rPr>
          <w:spacing w:val="6"/>
          <w:sz w:val="26"/>
          <w:szCs w:val="26"/>
        </w:rPr>
        <w:t>МСК</w:t>
      </w:r>
      <w:proofErr w:type="gramEnd"/>
      <w:r>
        <w:rPr>
          <w:spacing w:val="6"/>
          <w:sz w:val="26"/>
          <w:szCs w:val="26"/>
        </w:rPr>
        <w:t>».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</w:p>
    <w:p>
      <w:pPr>
        <w:pStyle w:val="ae"/>
        <w:spacing w:before="0" w:after="0"/>
        <w:ind w:firstLine="426"/>
        <w:jc w:val="right"/>
      </w:pP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0" w:name="_GoBack"/>
      <w:bookmarkEnd w:id="0"/>
    </w:p>
    <w:sectPr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20"/>
  </w:num>
  <w:num w:numId="10">
    <w:abstractNumId w:val="23"/>
  </w:num>
  <w:num w:numId="11">
    <w:abstractNumId w:val="13"/>
  </w:num>
  <w:num w:numId="12">
    <w:abstractNumId w:val="15"/>
  </w:num>
  <w:num w:numId="13">
    <w:abstractNumId w:val="16"/>
  </w:num>
  <w:num w:numId="14">
    <w:abstractNumId w:val="28"/>
  </w:num>
  <w:num w:numId="15">
    <w:abstractNumId w:val="21"/>
  </w:num>
  <w:num w:numId="16">
    <w:abstractNumId w:val="17"/>
  </w:num>
  <w:num w:numId="17">
    <w:abstractNumId w:val="14"/>
  </w:num>
  <w:num w:numId="18">
    <w:abstractNumId w:val="19"/>
  </w:num>
  <w:num w:numId="19">
    <w:abstractNumId w:val="3"/>
  </w:num>
  <w:num w:numId="20">
    <w:abstractNumId w:val="18"/>
  </w:num>
  <w:num w:numId="21">
    <w:abstractNumId w:val="7"/>
  </w:num>
  <w:num w:numId="22">
    <w:abstractNumId w:val="24"/>
  </w:num>
  <w:num w:numId="23">
    <w:abstractNumId w:val="12"/>
  </w:num>
  <w:num w:numId="24">
    <w:abstractNumId w:val="10"/>
  </w:num>
  <w:num w:numId="25">
    <w:abstractNumId w:val="5"/>
  </w:num>
  <w:num w:numId="26">
    <w:abstractNumId w:val="11"/>
  </w:num>
  <w:num w:numId="27">
    <w:abstractNumId w:val="9"/>
  </w:num>
  <w:num w:numId="28">
    <w:abstractNumId w:val="8"/>
  </w:num>
  <w:num w:numId="2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62FAE-96AA-478E-9E88-D8A92C1E6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5</cp:revision>
  <cp:lastPrinted>2020-07-22T07:11:00Z</cp:lastPrinted>
  <dcterms:created xsi:type="dcterms:W3CDTF">2020-09-07T03:47:00Z</dcterms:created>
  <dcterms:modified xsi:type="dcterms:W3CDTF">2020-09-08T04:02:00Z</dcterms:modified>
</cp:coreProperties>
</file>