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 конца сентября могут подать заявления на «детские» выплаты те семьи, которые еще не обращались за данной мерой господдержки</w:t>
      </w:r>
    </w:p>
    <w:p>
      <w:pPr>
        <w:autoSpaceDE w:val="0"/>
        <w:autoSpaceDN w:val="0"/>
        <w:adjustRightInd w:val="0"/>
        <w:ind w:firstLine="36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У тех новосибирских семей, которые еще не воспользовались правом на ежемесячные выплаты на детей в возрасте до 3-х лет либо единовременную выплату на детей в возрасте от 3-х до 16-ти лет, остался месяц для того, чтобы подать заявление. Органы ПФР будут принимать заявления на данные выплаты до 30 сентября включительно. </w:t>
      </w: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16"/>
          <w:szCs w:val="16"/>
        </w:rPr>
      </w:pP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Напомним, что речь идет о ежемесячной выплате в размере 5 тысяч рублей на детей до 3-х лет за апрель, май, июнь 2020 года и единовременной выплате в размере 10 тысяч рублей на детей от 3-х до 16-ти лет в июне текущего года, осуществляемые семьям с детьми Пенсионным фондом России в соответствии с Указами Президента РФ.</w:t>
      </w:r>
      <w:proofErr w:type="gramEnd"/>
      <w:r>
        <w:rPr>
          <w:sz w:val="26"/>
          <w:szCs w:val="26"/>
        </w:rPr>
        <w:t xml:space="preserve"> В дополнение к ним была произведена в июле и  дополнительная выплата в размере 10 000 рублей на каждого ребенка в возрасте до 16 лет. В Новосибирской области такие выплаты получили 395 тысяч семей (на 545 тысяч детей) на общую сумму более 11 млрд. рублей. Средства на данные выплаты в ПФР поступили из федерального бюджета и имели целевое назначение (ни на размере материнского капитала, ни на размере пенсий осуществление данных выплат не отразится). </w:t>
      </w: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Пенсионный фонд продолжает принимать заявления</w:t>
      </w:r>
      <w:r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У родителей и опекунов, которые пока ещё не обратились за указанными выплатами, на это есть чуть больше месяца – соответствующие заявления принимаются по 30 сентября включительно.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Удобнее всего подать заявление в электронном виде –  на ежемесячную выплату в размере 5 тысяч рублей через Личный кабинет на сайте ПФР или портале госуслуг, на единовременную выплату – только через портал госуслуг. Это самый удобный способ на сегодняшний день. Им воспользовались 98 % </w:t>
      </w:r>
      <w:proofErr w:type="gramStart"/>
      <w:r>
        <w:rPr>
          <w:sz w:val="26"/>
          <w:szCs w:val="26"/>
        </w:rPr>
        <w:t>обратившихся</w:t>
      </w:r>
      <w:proofErr w:type="gramEnd"/>
      <w:r>
        <w:rPr>
          <w:sz w:val="26"/>
          <w:szCs w:val="26"/>
        </w:rPr>
        <w:t xml:space="preserve"> за выплатами. Никаких дополнительных документов к заявлению при обращении за выплатами представлять не нужно. 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Заявления принимаются также всеми филиалами МФЦ и территориальными органами ПФР. 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 выплатами могут обратиться и опекуны, попечители детей. Опекунам (попечителям)  ребенка (детей) для оформления выплаты необходимо обращаться в ПФР или МФЦ, так как только лично должны быть представлены подтверждающие право на  опеку (попечительство) документы.</w:t>
      </w:r>
    </w:p>
    <w:p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Поступающие новые заявления на выплаты отрабатываются в установленном порядке, а июльская дополнительная выплата в размере 10 тысяч рублей устанавливается в </w:t>
      </w:r>
      <w:proofErr w:type="spellStart"/>
      <w:r>
        <w:rPr>
          <w:sz w:val="26"/>
          <w:szCs w:val="26"/>
        </w:rPr>
        <w:t>беззаявительном</w:t>
      </w:r>
      <w:proofErr w:type="spellEnd"/>
      <w:r>
        <w:rPr>
          <w:sz w:val="26"/>
          <w:szCs w:val="26"/>
        </w:rPr>
        <w:t xml:space="preserve"> порядке специалистами ПФР самостоятельно.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Доставка выплат осуществляется только на банковский счет заявителя в соответствии с реквизитами, указанными в заявлении. </w:t>
      </w:r>
    </w:p>
    <w:p>
      <w:pPr>
        <w:pStyle w:val="af6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 помощь родителям на сайте Пенсионного фонда размещены необходимые разъяснения о выплатах и ответы на часто задаваемые вопросы. </w:t>
      </w: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12"/>
          <w:szCs w:val="12"/>
        </w:rPr>
      </w:pPr>
    </w:p>
    <w:p>
      <w:pPr>
        <w:pStyle w:val="ae"/>
        <w:spacing w:before="0" w:after="0"/>
        <w:ind w:firstLine="426"/>
        <w:jc w:val="right"/>
      </w:pPr>
    </w:p>
    <w:p>
      <w:pPr>
        <w:pStyle w:val="af6"/>
        <w:ind w:firstLine="567"/>
        <w:jc w:val="right"/>
      </w:pPr>
      <w:bookmarkStart w:id="0" w:name="_GoBack"/>
      <w:bookmarkEnd w:id="0"/>
    </w:p>
    <w:sectPr>
      <w:pgSz w:w="11906" w:h="16838"/>
      <w:pgMar w:top="851" w:right="851" w:bottom="6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A13C9E"/>
    <w:multiLevelType w:val="hybridMultilevel"/>
    <w:tmpl w:val="8BEA0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B5664C"/>
    <w:multiLevelType w:val="hybridMultilevel"/>
    <w:tmpl w:val="63B8112A"/>
    <w:lvl w:ilvl="0" w:tplc="5118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26"/>
  </w:num>
  <w:num w:numId="5">
    <w:abstractNumId w:val="27"/>
  </w:num>
  <w:num w:numId="6">
    <w:abstractNumId w:val="1"/>
  </w:num>
  <w:num w:numId="7">
    <w:abstractNumId w:val="25"/>
  </w:num>
  <w:num w:numId="8">
    <w:abstractNumId w:val="2"/>
  </w:num>
  <w:num w:numId="9">
    <w:abstractNumId w:val="20"/>
  </w:num>
  <w:num w:numId="10">
    <w:abstractNumId w:val="23"/>
  </w:num>
  <w:num w:numId="11">
    <w:abstractNumId w:val="13"/>
  </w:num>
  <w:num w:numId="12">
    <w:abstractNumId w:val="15"/>
  </w:num>
  <w:num w:numId="13">
    <w:abstractNumId w:val="16"/>
  </w:num>
  <w:num w:numId="14">
    <w:abstractNumId w:val="28"/>
  </w:num>
  <w:num w:numId="15">
    <w:abstractNumId w:val="21"/>
  </w:num>
  <w:num w:numId="16">
    <w:abstractNumId w:val="17"/>
  </w:num>
  <w:num w:numId="17">
    <w:abstractNumId w:val="14"/>
  </w:num>
  <w:num w:numId="18">
    <w:abstractNumId w:val="19"/>
  </w:num>
  <w:num w:numId="19">
    <w:abstractNumId w:val="3"/>
  </w:num>
  <w:num w:numId="20">
    <w:abstractNumId w:val="18"/>
  </w:num>
  <w:num w:numId="21">
    <w:abstractNumId w:val="7"/>
  </w:num>
  <w:num w:numId="22">
    <w:abstractNumId w:val="24"/>
  </w:num>
  <w:num w:numId="23">
    <w:abstractNumId w:val="12"/>
  </w:num>
  <w:num w:numId="24">
    <w:abstractNumId w:val="10"/>
  </w:num>
  <w:num w:numId="25">
    <w:abstractNumId w:val="5"/>
  </w:num>
  <w:num w:numId="26">
    <w:abstractNumId w:val="11"/>
  </w:num>
  <w:num w:numId="27">
    <w:abstractNumId w:val="9"/>
  </w:num>
  <w:num w:numId="28">
    <w:abstractNumId w:val="8"/>
  </w:num>
  <w:num w:numId="2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1700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0912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603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934E7-DBA0-485D-BC17-81F9DF104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2</cp:revision>
  <cp:lastPrinted>2020-07-22T07:11:00Z</cp:lastPrinted>
  <dcterms:created xsi:type="dcterms:W3CDTF">2020-08-27T06:19:00Z</dcterms:created>
  <dcterms:modified xsi:type="dcterms:W3CDTF">2020-08-27T06:19:00Z</dcterms:modified>
</cp:coreProperties>
</file>