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  <w:r>
        <w:rPr>
          <w:b/>
          <w:sz w:val="26"/>
          <w:szCs w:val="26"/>
        </w:rPr>
        <w:t>Пенсионеры-опекуны в июле начнут получать повышенную пенсию</w:t>
      </w:r>
    </w:p>
    <w:p>
      <w:pPr>
        <w:autoSpaceDE w:val="0"/>
        <w:autoSpaceDN w:val="0"/>
        <w:adjustRightInd w:val="0"/>
        <w:ind w:firstLine="540"/>
        <w:rPr>
          <w:b/>
          <w:sz w:val="12"/>
          <w:szCs w:val="12"/>
        </w:rPr>
      </w:pPr>
    </w:p>
    <w:p>
      <w:pPr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С 1 июля текущего года пенсионеры-опекуны начнут получать страховую пенсию с учетом индексации. </w:t>
      </w:r>
    </w:p>
    <w:p>
      <w:pPr>
        <w:ind w:firstLine="567"/>
        <w:jc w:val="both"/>
        <w:rPr>
          <w:b/>
          <w:i/>
          <w:spacing w:val="4"/>
          <w:sz w:val="12"/>
          <w:szCs w:val="12"/>
        </w:rPr>
      </w:pPr>
    </w:p>
    <w:p>
      <w:pPr>
        <w:pStyle w:val="af6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Пенсионеры, которые являются опекунами или попечителями на возмездной основе, в том числе по договору о приемной семье,  начиная с 1 июля текущего года, будут получать страховую пенсию с учетом проведенных индексаций.</w:t>
      </w:r>
    </w:p>
    <w:p>
      <w:pPr>
        <w:pStyle w:val="af6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Опека (попечительство) устанавливается над несовершеннолетними либо недееспособными лицами. Статус опекуна возникает на основании заключения органа опеки и попечительства, постановления главы местной администрации. Пенсионер тоже может стать опекуном (попечителем), если по состоянию здоровья и другим факторам может представлять интересы своих подопечных, заниматься их воспитанием и уходом.</w:t>
      </w:r>
    </w:p>
    <w:p>
      <w:pPr>
        <w:pStyle w:val="af6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 такими гражданами заключается договор, который предусматривает выплату вознаграждения, либо право на доходы от управления имуществом опекаемого лица.</w:t>
      </w:r>
    </w:p>
    <w:p>
      <w:pPr>
        <w:pStyle w:val="af6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Напомним, что в настоящее время на оплачиваемую опеку (попечительство), например, в рамках договора о приемной семье, распространяются правила обязательного пенсионного страхования, поэтому пенсионеры-опекуны (попечители) считаются работающими пенсионерами, и выплата пенсии им с учетом индексации возобновляется только после завершения данной трудовой деятельности. </w:t>
      </w:r>
    </w:p>
    <w:p>
      <w:pPr>
        <w:pStyle w:val="af6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апреле текущего года в пенсионное законодательство были внесены изменения, согласно которым данное правило теперь не будет распространяться на указанную категорию граждан.</w:t>
      </w:r>
    </w:p>
    <w:p>
      <w:pPr>
        <w:pStyle w:val="af6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Таким образом, в результате утвержденных изменений  в июле повышение размера пенсии коснется порядка 900 новосибирских пенсионеров.</w:t>
      </w:r>
    </w:p>
    <w:p>
      <w:pPr>
        <w:pStyle w:val="af6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Перерасчет пенсии носит </w:t>
      </w:r>
      <w:proofErr w:type="spellStart"/>
      <w:r>
        <w:rPr>
          <w:color w:val="000000"/>
          <w:sz w:val="26"/>
          <w:szCs w:val="26"/>
        </w:rPr>
        <w:t>беззаявительный</w:t>
      </w:r>
      <w:proofErr w:type="spellEnd"/>
      <w:r>
        <w:rPr>
          <w:color w:val="000000"/>
          <w:sz w:val="26"/>
          <w:szCs w:val="26"/>
        </w:rPr>
        <w:t xml:space="preserve"> характер. Все необходимые сведения по актуализации списков пенсионеров-опекунов и попечителей органы ПФР по Новосибирской области  провели самостоятельно.</w:t>
      </w:r>
    </w:p>
    <w:p>
      <w:pPr>
        <w:pStyle w:val="af6"/>
        <w:ind w:firstLine="567"/>
        <w:jc w:val="both"/>
        <w:rPr>
          <w:color w:val="000000"/>
          <w:sz w:val="16"/>
          <w:szCs w:val="16"/>
        </w:rPr>
      </w:pPr>
    </w:p>
    <w:p>
      <w:pPr>
        <w:pStyle w:val="af6"/>
        <w:ind w:firstLine="567"/>
        <w:jc w:val="both"/>
        <w:rPr>
          <w:i/>
          <w:sz w:val="26"/>
          <w:szCs w:val="26"/>
        </w:rPr>
      </w:pPr>
      <w:bookmarkStart w:id="0" w:name="_GoBack"/>
      <w:bookmarkEnd w:id="0"/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7248F-04F8-4DFB-8889-FD87724C1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ШУШКАНОВА ТАТЬЯНА ЛЕОНИДОВНА</cp:lastModifiedBy>
  <cp:revision>21</cp:revision>
  <cp:lastPrinted>2020-03-12T05:19:00Z</cp:lastPrinted>
  <dcterms:created xsi:type="dcterms:W3CDTF">2020-04-29T04:41:00Z</dcterms:created>
  <dcterms:modified xsi:type="dcterms:W3CDTF">2020-06-30T04:54:00Z</dcterms:modified>
</cp:coreProperties>
</file>