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autoSpaceDE w:val="0"/>
        <w:autoSpaceDN w:val="0"/>
        <w:adjustRightInd w:val="0"/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Новые электронные сервисы на сайте ПФР для работодателей</w:t>
      </w:r>
    </w:p>
    <w:p>
      <w:pPr>
        <w:autoSpaceDE w:val="0"/>
        <w:autoSpaceDN w:val="0"/>
        <w:adjustRightInd w:val="0"/>
        <w:ind w:firstLine="360"/>
        <w:jc w:val="both"/>
        <w:rPr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360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Передать сведения о трудовой деятельности работодатели могут в электронном виде через сайт  ПФР.</w:t>
      </w:r>
    </w:p>
    <w:p>
      <w:pPr>
        <w:tabs>
          <w:tab w:val="left" w:pos="1792"/>
        </w:tabs>
        <w:autoSpaceDE w:val="0"/>
        <w:autoSpaceDN w:val="0"/>
        <w:adjustRightInd w:val="0"/>
        <w:ind w:firstLine="360"/>
        <w:jc w:val="both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ab/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Заполнить форму СЗВ-ТД «Сведения о трудовой деятельности работников» страхователи теперь могут непосредственно на сайте Пенсионного фонда России. Соответствующий электронный сервис «Сформировать и отправить: СЗВ-ТД» появился в Кабинете страхователя.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Доступ ко всем сервисам Кабинета страхователя организация получает в том случае, если имеет учетную запись в Единой системе идентификац</w:t>
      </w:r>
      <w:proofErr w:type="gramStart"/>
      <w:r>
        <w:rPr>
          <w:spacing w:val="6"/>
          <w:sz w:val="26"/>
          <w:szCs w:val="26"/>
        </w:rPr>
        <w:t>ии и ау</w:t>
      </w:r>
      <w:proofErr w:type="gramEnd"/>
      <w:r>
        <w:rPr>
          <w:spacing w:val="6"/>
          <w:sz w:val="26"/>
          <w:szCs w:val="26"/>
        </w:rPr>
        <w:t>тентификации (ЕСИА) в качестве юридического лица. После заполнения на сайте формы СЗВ-ТД страхователю необходимо проверить правильность внесенных сведений и отправить документ, нажав соответствующую кнопку. Отчет поступит в информационную систему ПФР.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Передать формы СЗВ-ТД, предварительно подготовленные с помощью программного обеспечения страхователя или через бесплатные программы для подготовки отчетности, работодатели могут через электронный сервис «Загрузить подготовленный документ».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В том случае, если работодатель не имеет учетной записи в ЕСИА, он может использовать сервис «Загрузить проект отчетности». Отчеты таких неавторизованных страхователей поступают в информационную систему ПФР, где переданному пакету документов присваивается номер. Однако для того, что отчетность была обработана, страхователю необходимо сохранить, распечатать и подписать сформированный пакет документов, а затем представить его в территориальный орган Пенсионного фонда для проведения сверки.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По всем вопросам, связанным с передачей отчетности по форме СЗВ-ТД, страхователи могут обратиться в службу технической поддержки ПФР. Этот сервис позволяет дистанционно получить консультацию специалистов ПФР без ожидания в очереди и предварительной записи. Для получения консультации работодатель заполняет заявку и отправляет ее на электронный адрес otchet_pfr@101.pfr.ru. Шаблон заявки в службу техподдержки и инструкции по использованию электронных сервисов Кабинета страхователя размещены на сайте ПФР в разделе «Информация для жителей региона»/«Страхователям».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Сведения по форме СЗВ-ТД работодатели представляют в Пенсионный фонд не позднее 15-го числа месяца, следующего за месяцем в котором произошло кадровое событие. Отчеты, содержащие информацию о приеме на работу или увольнении работников, должны передаваться не позднее рабочего дня, следующего за днем издания соответствующего приказа или распоряжения. На основе этих сведений формируются электронные трудовые книжки граждан.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Также напоминаем, что работодателям необходимо проинформировать своих работников о праве выбора формы трудовой книжки (в электронном или бумажном виде) не позднее 31 октября 2020 года. В свою очередь граждане не позднее 31 декабря текущего года должны определиться со своим выбором, подав письменно соответствующее заявление.</w:t>
      </w:r>
    </w:p>
    <w:p>
      <w:pPr>
        <w:pStyle w:val="ae"/>
        <w:spacing w:before="0" w:after="0"/>
        <w:ind w:firstLine="426"/>
        <w:jc w:val="right"/>
      </w:pPr>
      <w:bookmarkStart w:id="0" w:name="_GoBack"/>
      <w:bookmarkEnd w:id="0"/>
    </w:p>
    <w:sectPr>
      <w:pgSz w:w="11906" w:h="16838"/>
      <w:pgMar w:top="851" w:right="851" w:bottom="68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8A13C9E"/>
    <w:multiLevelType w:val="hybridMultilevel"/>
    <w:tmpl w:val="8BEA08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B5664C"/>
    <w:multiLevelType w:val="hybridMultilevel"/>
    <w:tmpl w:val="63B8112A"/>
    <w:lvl w:ilvl="0" w:tplc="5118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2"/>
  </w:num>
  <w:num w:numId="4">
    <w:abstractNumId w:val="26"/>
  </w:num>
  <w:num w:numId="5">
    <w:abstractNumId w:val="27"/>
  </w:num>
  <w:num w:numId="6">
    <w:abstractNumId w:val="1"/>
  </w:num>
  <w:num w:numId="7">
    <w:abstractNumId w:val="25"/>
  </w:num>
  <w:num w:numId="8">
    <w:abstractNumId w:val="2"/>
  </w:num>
  <w:num w:numId="9">
    <w:abstractNumId w:val="20"/>
  </w:num>
  <w:num w:numId="10">
    <w:abstractNumId w:val="23"/>
  </w:num>
  <w:num w:numId="11">
    <w:abstractNumId w:val="13"/>
  </w:num>
  <w:num w:numId="12">
    <w:abstractNumId w:val="15"/>
  </w:num>
  <w:num w:numId="13">
    <w:abstractNumId w:val="16"/>
  </w:num>
  <w:num w:numId="14">
    <w:abstractNumId w:val="28"/>
  </w:num>
  <w:num w:numId="15">
    <w:abstractNumId w:val="21"/>
  </w:num>
  <w:num w:numId="16">
    <w:abstractNumId w:val="17"/>
  </w:num>
  <w:num w:numId="17">
    <w:abstractNumId w:val="14"/>
  </w:num>
  <w:num w:numId="18">
    <w:abstractNumId w:val="19"/>
  </w:num>
  <w:num w:numId="19">
    <w:abstractNumId w:val="3"/>
  </w:num>
  <w:num w:numId="20">
    <w:abstractNumId w:val="18"/>
  </w:num>
  <w:num w:numId="21">
    <w:abstractNumId w:val="7"/>
  </w:num>
  <w:num w:numId="22">
    <w:abstractNumId w:val="24"/>
  </w:num>
  <w:num w:numId="23">
    <w:abstractNumId w:val="12"/>
  </w:num>
  <w:num w:numId="24">
    <w:abstractNumId w:val="10"/>
  </w:num>
  <w:num w:numId="25">
    <w:abstractNumId w:val="5"/>
  </w:num>
  <w:num w:numId="26">
    <w:abstractNumId w:val="11"/>
  </w:num>
  <w:num w:numId="27">
    <w:abstractNumId w:val="9"/>
  </w:num>
  <w:num w:numId="28">
    <w:abstractNumId w:val="8"/>
  </w:num>
  <w:num w:numId="2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9">
    <w:name w:val="Текст документа"/>
    <w:basedOn w:val="ae"/>
    <w:link w:val="afa"/>
    <w:autoRedefine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</w:rPr>
  </w:style>
  <w:style w:type="character" w:customStyle="1" w:styleId="afa">
    <w:name w:val="Текст документа Знак"/>
    <w:link w:val="af9"/>
    <w:rPr>
      <w:rFonts w:eastAsia="Verdana"/>
      <w:iCs/>
      <w:color w:val="000000"/>
      <w:sz w:val="26"/>
      <w:szCs w:val="26"/>
    </w:rPr>
  </w:style>
  <w:style w:type="paragraph" w:customStyle="1" w:styleId="Textbody">
    <w:name w:val="Text body"/>
    <w:basedOn w:val="a"/>
    <w:pPr>
      <w:widowControl w:val="0"/>
      <w:autoSpaceDN w:val="0"/>
      <w:spacing w:after="120"/>
      <w:textAlignment w:val="baseline"/>
    </w:pPr>
    <w:rPr>
      <w:rFonts w:ascii="Arial" w:eastAsia="Arial Unicode MS" w:hAnsi="Arial" w:cs="Mangal"/>
      <w:kern w:val="3"/>
      <w:sz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9">
    <w:name w:val="Текст документа"/>
    <w:basedOn w:val="ae"/>
    <w:link w:val="afa"/>
    <w:autoRedefine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</w:rPr>
  </w:style>
  <w:style w:type="character" w:customStyle="1" w:styleId="afa">
    <w:name w:val="Текст документа Знак"/>
    <w:link w:val="af9"/>
    <w:rPr>
      <w:rFonts w:eastAsia="Verdana"/>
      <w:iCs/>
      <w:color w:val="000000"/>
      <w:sz w:val="26"/>
      <w:szCs w:val="26"/>
    </w:rPr>
  </w:style>
  <w:style w:type="paragraph" w:customStyle="1" w:styleId="Textbody">
    <w:name w:val="Text body"/>
    <w:basedOn w:val="a"/>
    <w:pPr>
      <w:widowControl w:val="0"/>
      <w:autoSpaceDN w:val="0"/>
      <w:spacing w:after="120"/>
      <w:textAlignment w:val="baseline"/>
    </w:pPr>
    <w:rPr>
      <w:rFonts w:ascii="Arial" w:eastAsia="Arial Unicode MS" w:hAnsi="Arial" w:cs="Mangal"/>
      <w:kern w:val="3"/>
      <w:sz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1700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7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0912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1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603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24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E622E-7D4A-44C9-B557-C2D74898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5</cp:revision>
  <cp:lastPrinted>2020-07-22T07:11:00Z</cp:lastPrinted>
  <dcterms:created xsi:type="dcterms:W3CDTF">2020-09-11T03:50:00Z</dcterms:created>
  <dcterms:modified xsi:type="dcterms:W3CDTF">2020-09-11T05:00:00Z</dcterms:modified>
</cp:coreProperties>
</file>