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Программа </w:t>
      </w:r>
      <w:proofErr w:type="spellStart"/>
      <w:r>
        <w:rPr>
          <w:b/>
          <w:sz w:val="26"/>
          <w:szCs w:val="26"/>
        </w:rPr>
        <w:t>софинансирования</w:t>
      </w:r>
      <w:proofErr w:type="spellEnd"/>
      <w:r>
        <w:rPr>
          <w:b/>
          <w:sz w:val="26"/>
          <w:szCs w:val="26"/>
        </w:rPr>
        <w:t xml:space="preserve"> пенсий продолжает действовать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У новосибирских  участников Программы </w:t>
      </w:r>
      <w:proofErr w:type="gramStart"/>
      <w:r>
        <w:rPr>
          <w:b/>
          <w:i/>
          <w:sz w:val="26"/>
          <w:szCs w:val="26"/>
          <w:lang w:eastAsia="ru-RU"/>
        </w:rPr>
        <w:t>государственного</w:t>
      </w:r>
      <w:proofErr w:type="gramEnd"/>
      <w:r>
        <w:rPr>
          <w:b/>
          <w:i/>
          <w:sz w:val="26"/>
          <w:szCs w:val="26"/>
          <w:lang w:eastAsia="ru-RU"/>
        </w:rPr>
        <w:t xml:space="preserve"> </w:t>
      </w:r>
      <w:proofErr w:type="spellStart"/>
      <w:r>
        <w:rPr>
          <w:b/>
          <w:i/>
          <w:sz w:val="26"/>
          <w:szCs w:val="26"/>
          <w:lang w:eastAsia="ru-RU"/>
        </w:rPr>
        <w:t>софинансирования</w:t>
      </w:r>
      <w:proofErr w:type="spellEnd"/>
      <w:r>
        <w:rPr>
          <w:b/>
          <w:i/>
          <w:sz w:val="26"/>
          <w:szCs w:val="26"/>
          <w:lang w:eastAsia="ru-RU"/>
        </w:rPr>
        <w:t xml:space="preserve"> пенсий  осталось чуть больше трех месяцев для уплаты дополнительных взносов в счет своей будущей пенсии. 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6"/>
          <w:szCs w:val="16"/>
        </w:rPr>
      </w:pP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Программа государственного </w:t>
      </w:r>
      <w:proofErr w:type="spellStart"/>
      <w:r>
        <w:rPr>
          <w:spacing w:val="6"/>
          <w:sz w:val="26"/>
          <w:szCs w:val="26"/>
        </w:rPr>
        <w:t>софинансирования</w:t>
      </w:r>
      <w:proofErr w:type="spellEnd"/>
      <w:r>
        <w:rPr>
          <w:spacing w:val="6"/>
          <w:sz w:val="26"/>
          <w:szCs w:val="26"/>
        </w:rPr>
        <w:t xml:space="preserve"> пенсий действует в нашей стране более 11 лет (с 2009 года). За это время новосибирские участники данной Программы внесли в счет своей будущей пенсии более одного миллиарда рублей дополнительных страховых взносов.  В прошлом году новосибирцы внесли в счет своих будущих пенсий более 63,7 млн. рублей.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Напомним, что </w:t>
      </w:r>
      <w:proofErr w:type="spellStart"/>
      <w:r>
        <w:rPr>
          <w:spacing w:val="6"/>
          <w:sz w:val="26"/>
          <w:szCs w:val="26"/>
        </w:rPr>
        <w:t>софинансированию</w:t>
      </w:r>
      <w:proofErr w:type="spellEnd"/>
      <w:r>
        <w:rPr>
          <w:spacing w:val="6"/>
          <w:sz w:val="26"/>
          <w:szCs w:val="26"/>
        </w:rPr>
        <w:t xml:space="preserve"> (удвоению) со стороны государства подлежат взносы от 2-х до 12-ти тысяч рублей в год. Если была уплачена сумма меньше двух тысяч рублей, то она просто фиксируется на лицевом счете гражданина и будет учитываться при расчете будущей пенсии, но не будет удвоена государством.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У новосибирских участников Программы </w:t>
      </w:r>
      <w:proofErr w:type="spellStart"/>
      <w:r>
        <w:rPr>
          <w:spacing w:val="6"/>
          <w:sz w:val="26"/>
          <w:szCs w:val="26"/>
        </w:rPr>
        <w:t>софинансирования</w:t>
      </w:r>
      <w:proofErr w:type="spellEnd"/>
      <w:r>
        <w:rPr>
          <w:spacing w:val="6"/>
          <w:sz w:val="26"/>
          <w:szCs w:val="26"/>
        </w:rPr>
        <w:t xml:space="preserve"> пенсий осталось чуть больше трех месяцев для того, чтобы внести дополнительные взносы в счет своей будущей пенсии. В таком случае государство удвоит их весной будущего года.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Особо обращаем внимание на возможность таким способом увеличить размер своей будущей пенсии граждан, которые вступили в Программу </w:t>
      </w:r>
      <w:proofErr w:type="spellStart"/>
      <w:r>
        <w:rPr>
          <w:spacing w:val="6"/>
          <w:sz w:val="26"/>
          <w:szCs w:val="26"/>
        </w:rPr>
        <w:t>софинансирования</w:t>
      </w:r>
      <w:proofErr w:type="spellEnd"/>
      <w:r>
        <w:rPr>
          <w:spacing w:val="6"/>
          <w:sz w:val="26"/>
          <w:szCs w:val="26"/>
        </w:rPr>
        <w:t xml:space="preserve"> в 2011 году. В 2021 году государство последний раз удвоит их взносы, так как согласно Закону </w:t>
      </w:r>
      <w:proofErr w:type="spellStart"/>
      <w:r>
        <w:rPr>
          <w:spacing w:val="6"/>
          <w:sz w:val="26"/>
          <w:szCs w:val="26"/>
        </w:rPr>
        <w:t>софинансирование</w:t>
      </w:r>
      <w:proofErr w:type="spellEnd"/>
      <w:r>
        <w:rPr>
          <w:spacing w:val="6"/>
          <w:sz w:val="26"/>
          <w:szCs w:val="26"/>
        </w:rPr>
        <w:t xml:space="preserve"> взносов производится в течение 10 лет с момента первого платежа.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В текущем году государство последний раз удвоило взносы тех участников Программы, которые вступили в нее в 2010 году, но они по-прежнему могут производить уплату дополнительных взносов на накопительную пенсию, тем самым увеличивая ее, но уже без участия государства.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Эти средства будут учтены на лицевых счетах граждан и переданы в управляющие компании и негосударственные пенсионные фонды для дальнейшего инвестирования.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Вышеуказанные суммы дополнительных взносов можно внести как разовым платежом, так и разбить на несколько частей. Их можно уплатить как через своего работодателя, так и самостоятельно через любое кредитное учреждение. Бланк платежной квитанции с необходимыми реквизитами  можно скачать с сайта ПФР, получить в самом банке или в ПФР.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>Средства, сформированные в рамках Программы, входят в общую сумму пенсионных накоплений человека, инвестируются с целью получения дохода и выплачиваются при достижении 55 и 60 лет женщинам и мужчинам соответственно (при наличии необходимого стажа и количества пенсионных коэффициентов). На них также распространяются и правила правопреемства.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bookmarkStart w:id="0" w:name="_GoBack"/>
      <w:bookmarkEnd w:id="0"/>
    </w:p>
    <w:sectPr>
      <w:pgSz w:w="11906" w:h="16838"/>
      <w:pgMar w:top="851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5664C"/>
    <w:multiLevelType w:val="hybridMultilevel"/>
    <w:tmpl w:val="63B8112A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2"/>
  </w:num>
  <w:num w:numId="9">
    <w:abstractNumId w:val="20"/>
  </w:num>
  <w:num w:numId="10">
    <w:abstractNumId w:val="23"/>
  </w:num>
  <w:num w:numId="11">
    <w:abstractNumId w:val="13"/>
  </w:num>
  <w:num w:numId="12">
    <w:abstractNumId w:val="15"/>
  </w:num>
  <w:num w:numId="13">
    <w:abstractNumId w:val="16"/>
  </w:num>
  <w:num w:numId="14">
    <w:abstractNumId w:val="28"/>
  </w:num>
  <w:num w:numId="15">
    <w:abstractNumId w:val="21"/>
  </w:num>
  <w:num w:numId="16">
    <w:abstractNumId w:val="17"/>
  </w:num>
  <w:num w:numId="17">
    <w:abstractNumId w:val="14"/>
  </w:num>
  <w:num w:numId="18">
    <w:abstractNumId w:val="19"/>
  </w:num>
  <w:num w:numId="19">
    <w:abstractNumId w:val="3"/>
  </w:num>
  <w:num w:numId="20">
    <w:abstractNumId w:val="18"/>
  </w:num>
  <w:num w:numId="21">
    <w:abstractNumId w:val="7"/>
  </w:num>
  <w:num w:numId="22">
    <w:abstractNumId w:val="24"/>
  </w:num>
  <w:num w:numId="23">
    <w:abstractNumId w:val="12"/>
  </w:num>
  <w:num w:numId="24">
    <w:abstractNumId w:val="10"/>
  </w:num>
  <w:num w:numId="25">
    <w:abstractNumId w:val="5"/>
  </w:num>
  <w:num w:numId="26">
    <w:abstractNumId w:val="11"/>
  </w:num>
  <w:num w:numId="27">
    <w:abstractNumId w:val="9"/>
  </w:num>
  <w:num w:numId="28">
    <w:abstractNumId w:val="8"/>
  </w:num>
  <w:num w:numId="2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F3CA1-A72F-4FFE-A5E4-3E43417C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5</cp:revision>
  <cp:lastPrinted>2020-07-22T07:11:00Z</cp:lastPrinted>
  <dcterms:created xsi:type="dcterms:W3CDTF">2020-09-11T03:53:00Z</dcterms:created>
  <dcterms:modified xsi:type="dcterms:W3CDTF">2020-09-11T05:00:00Z</dcterms:modified>
</cp:coreProperties>
</file>