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Список банков для распоряжения материнским капиталом на оплату кредитов стал шире</w:t>
      </w:r>
    </w:p>
    <w:p>
      <w:pPr>
        <w:autoSpaceDE w:val="0"/>
        <w:autoSpaceDN w:val="0"/>
        <w:adjustRightInd w:val="0"/>
        <w:ind w:firstLine="360"/>
        <w:jc w:val="both"/>
        <w:rPr>
          <w:b/>
          <w:sz w:val="12"/>
          <w:szCs w:val="12"/>
        </w:rPr>
      </w:pPr>
    </w:p>
    <w:p>
      <w:pPr>
        <w:pStyle w:val="af6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Расширился список банков, обратившись в которые, новосибирцы могут одновременно оформить кредит и подать заявление на распоряжение средствами материнского капитала на его погашение, что освобождает их от необходимости дополнительного посещения клиентской службы ПФР. Это стало возможным благодаря соглашениям, которые Пенсионный фонд заключает с кредитными учреждениями. </w:t>
      </w:r>
    </w:p>
    <w:p>
      <w:pPr>
        <w:autoSpaceDE w:val="0"/>
        <w:autoSpaceDN w:val="0"/>
        <w:adjustRightInd w:val="0"/>
        <w:ind w:firstLine="360"/>
        <w:jc w:val="both"/>
        <w:rPr>
          <w:b/>
          <w:i/>
          <w:sz w:val="16"/>
          <w:szCs w:val="16"/>
        </w:rPr>
      </w:pP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Начиная с июня текущего года, у владельцев сертификатов на материнский (семейный) капитал, решивших направить его средства на улучшение жилищных условий с привлечением кредитных средств, появилась возможность подать соответствующее заявление непосредственно в банке, в котором открывается кредит. При этом в ПФР обращаться уже не надо. Банк самостоятельно направит заявление с необходимыми документами в Пенсионный фонд для принятия решения. Гражданин уведомляется специалистами ПФР о принятом решении. Такое взаимодействие позволяет ускорить распоряжение средствами материнского капитала по указанному направлению. 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На сегодняшний день соглашения Отделением ПФР по Новосибирской области заключены с 15 банками региона. </w:t>
      </w:r>
      <w:proofErr w:type="gramStart"/>
      <w:r>
        <w:rPr>
          <w:spacing w:val="6"/>
          <w:sz w:val="26"/>
          <w:szCs w:val="26"/>
        </w:rPr>
        <w:t>В их число входят «Сбербанк», Банк ВТБ, «</w:t>
      </w:r>
      <w:proofErr w:type="spellStart"/>
      <w:r>
        <w:rPr>
          <w:spacing w:val="6"/>
          <w:sz w:val="26"/>
          <w:szCs w:val="26"/>
        </w:rPr>
        <w:t>Россельхозбанк</w:t>
      </w:r>
      <w:proofErr w:type="spellEnd"/>
      <w:r>
        <w:rPr>
          <w:spacing w:val="6"/>
          <w:sz w:val="26"/>
          <w:szCs w:val="26"/>
        </w:rPr>
        <w:t xml:space="preserve">», «Банк </w:t>
      </w:r>
      <w:proofErr w:type="spellStart"/>
      <w:r>
        <w:rPr>
          <w:spacing w:val="6"/>
          <w:sz w:val="26"/>
          <w:szCs w:val="26"/>
        </w:rPr>
        <w:t>Уралсиб</w:t>
      </w:r>
      <w:proofErr w:type="spellEnd"/>
      <w:r>
        <w:rPr>
          <w:spacing w:val="6"/>
          <w:sz w:val="26"/>
          <w:szCs w:val="26"/>
        </w:rPr>
        <w:t>», «</w:t>
      </w:r>
      <w:proofErr w:type="spellStart"/>
      <w:r>
        <w:rPr>
          <w:spacing w:val="6"/>
          <w:sz w:val="26"/>
          <w:szCs w:val="26"/>
        </w:rPr>
        <w:t>Ланта</w:t>
      </w:r>
      <w:proofErr w:type="spellEnd"/>
      <w:r>
        <w:rPr>
          <w:spacing w:val="6"/>
          <w:sz w:val="26"/>
          <w:szCs w:val="26"/>
        </w:rPr>
        <w:t>-Банк», Банк «Левобережный», Банк «ФК Открытие», «Абсолют-Банк», Банк «</w:t>
      </w:r>
      <w:proofErr w:type="spellStart"/>
      <w:r>
        <w:rPr>
          <w:spacing w:val="6"/>
          <w:sz w:val="26"/>
          <w:szCs w:val="26"/>
        </w:rPr>
        <w:t>Финсервис</w:t>
      </w:r>
      <w:proofErr w:type="spellEnd"/>
      <w:r>
        <w:rPr>
          <w:spacing w:val="6"/>
          <w:sz w:val="26"/>
          <w:szCs w:val="26"/>
        </w:rPr>
        <w:t>», «АК БАРС», «МТС БАНК», «</w:t>
      </w:r>
      <w:proofErr w:type="spellStart"/>
      <w:r>
        <w:rPr>
          <w:spacing w:val="6"/>
          <w:sz w:val="26"/>
          <w:szCs w:val="26"/>
        </w:rPr>
        <w:t>Совкомбанк</w:t>
      </w:r>
      <w:proofErr w:type="spellEnd"/>
      <w:r>
        <w:rPr>
          <w:spacing w:val="6"/>
          <w:sz w:val="26"/>
          <w:szCs w:val="26"/>
        </w:rPr>
        <w:t>», «Альфа – банк», «Газпромбанк».</w:t>
      </w:r>
      <w:proofErr w:type="gramEnd"/>
      <w:r>
        <w:rPr>
          <w:spacing w:val="6"/>
          <w:sz w:val="26"/>
          <w:szCs w:val="26"/>
        </w:rPr>
        <w:t xml:space="preserve">  Они обладают сетью отделений и предоставляют семьям кредиты с государственной поддержкой.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Как показывает статистика, порядка 70% новосибирцев направляют средства материнского капитала на улучшение жилищных условий, используя жилищные (ипотечные) кредиты. 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Через банки за лето поступило порядка 150 заявлений на распоряжение средствами материнского (семейного) капитала. Постепенно данный вид взаимодействия будет набирать обороты. 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</w:p>
    <w:p>
      <w:pPr>
        <w:pStyle w:val="ae"/>
        <w:spacing w:before="0" w:after="0"/>
        <w:ind w:firstLine="426"/>
        <w:jc w:val="right"/>
      </w:pPr>
    </w:p>
    <w:p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6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8A13C9E"/>
    <w:multiLevelType w:val="hybridMultilevel"/>
    <w:tmpl w:val="8BEA08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B5664C"/>
    <w:multiLevelType w:val="hybridMultilevel"/>
    <w:tmpl w:val="63B8112A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6"/>
  </w:num>
  <w:num w:numId="5">
    <w:abstractNumId w:val="27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8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3"/>
  </w:num>
  <w:num w:numId="20">
    <w:abstractNumId w:val="18"/>
  </w:num>
  <w:num w:numId="21">
    <w:abstractNumId w:val="7"/>
  </w:num>
  <w:num w:numId="22">
    <w:abstractNumId w:val="24"/>
  </w:num>
  <w:num w:numId="23">
    <w:abstractNumId w:val="12"/>
  </w:num>
  <w:num w:numId="24">
    <w:abstractNumId w:val="10"/>
  </w:num>
  <w:num w:numId="25">
    <w:abstractNumId w:val="5"/>
  </w:num>
  <w:num w:numId="26">
    <w:abstractNumId w:val="11"/>
  </w:num>
  <w:num w:numId="27">
    <w:abstractNumId w:val="9"/>
  </w:num>
  <w:num w:numId="28">
    <w:abstractNumId w:val="8"/>
  </w:num>
  <w:num w:numId="2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 w:val="x-none" w:eastAsia="x-none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  <w:lang w:val="x-none" w:eastAsia="x-none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 w:val="x-none" w:eastAsia="x-none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  <w:lang w:val="x-none" w:eastAsia="x-none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1700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7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912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603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F0710-C846-4962-BA43-70AB22B6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2020-07-22T07:11:00Z</cp:lastPrinted>
  <dcterms:created xsi:type="dcterms:W3CDTF">2020-09-07T03:46:00Z</dcterms:created>
  <dcterms:modified xsi:type="dcterms:W3CDTF">2020-09-08T04:02:00Z</dcterms:modified>
</cp:coreProperties>
</file>