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F8" w:rsidRPr="00FB6CF8" w:rsidRDefault="00FB6CF8" w:rsidP="00FB6CF8">
      <w:pPr>
        <w:jc w:val="right"/>
        <w:rPr>
          <w:sz w:val="24"/>
          <w:szCs w:val="24"/>
        </w:rPr>
      </w:pPr>
      <w:r w:rsidRPr="00FB6CF8">
        <w:rPr>
          <w:color w:val="000000"/>
        </w:rPr>
        <w:t>ПРИЛОЖЕНИЕ № </w:t>
      </w:r>
      <w:r w:rsidR="00A56E71">
        <w:rPr>
          <w:color w:val="000000"/>
        </w:rPr>
        <w:t>2</w:t>
      </w:r>
    </w:p>
    <w:p w:rsidR="00FB6CF8" w:rsidRPr="00FB6CF8" w:rsidRDefault="00FB6CF8" w:rsidP="00FB6CF8">
      <w:pPr>
        <w:jc w:val="right"/>
        <w:rPr>
          <w:sz w:val="24"/>
          <w:szCs w:val="24"/>
        </w:rPr>
      </w:pPr>
      <w:r w:rsidRPr="00FB6CF8">
        <w:rPr>
          <w:color w:val="000000"/>
        </w:rPr>
        <w:t>к письму Минэкономразвития НСО</w:t>
      </w:r>
    </w:p>
    <w:p w:rsidR="001010F3" w:rsidRDefault="00FB6CF8" w:rsidP="00FB6CF8">
      <w:pPr>
        <w:tabs>
          <w:tab w:val="left" w:pos="-114"/>
          <w:tab w:val="left" w:pos="1080"/>
        </w:tabs>
        <w:jc w:val="right"/>
      </w:pPr>
      <w:r w:rsidRPr="00FB6CF8">
        <w:rPr>
          <w:color w:val="000000"/>
        </w:rPr>
        <w:t xml:space="preserve">от </w:t>
      </w:r>
      <w:r w:rsidRPr="00FB6CF8">
        <w:rPr>
          <w:color w:val="000000"/>
          <w:u w:val="single"/>
        </w:rPr>
        <w:t xml:space="preserve">______________ </w:t>
      </w:r>
      <w:r w:rsidRPr="00FB6CF8">
        <w:rPr>
          <w:color w:val="000000"/>
        </w:rPr>
        <w:t xml:space="preserve">№ </w:t>
      </w:r>
      <w:r w:rsidRPr="00FB6CF8">
        <w:rPr>
          <w:color w:val="000000"/>
          <w:u w:val="single"/>
        </w:rPr>
        <w:t>____________</w:t>
      </w:r>
    </w:p>
    <w:p w:rsidR="001010F3" w:rsidRDefault="001010F3">
      <w:pPr>
        <w:tabs>
          <w:tab w:val="left" w:pos="-114"/>
          <w:tab w:val="left" w:pos="1080"/>
        </w:tabs>
        <w:jc w:val="right"/>
      </w:pPr>
    </w:p>
    <w:p w:rsidR="001010F3" w:rsidRPr="0004187C" w:rsidRDefault="001010F3">
      <w:pPr>
        <w:tabs>
          <w:tab w:val="left" w:pos="-114"/>
          <w:tab w:val="left" w:pos="1080"/>
        </w:tabs>
        <w:jc w:val="right"/>
      </w:pPr>
    </w:p>
    <w:p w:rsidR="001010F3" w:rsidRDefault="001010F3">
      <w:pPr>
        <w:tabs>
          <w:tab w:val="left" w:pos="-114"/>
          <w:tab w:val="left" w:pos="1080"/>
        </w:tabs>
        <w:jc w:val="right"/>
      </w:pPr>
    </w:p>
    <w:p w:rsidR="001010F3" w:rsidRDefault="005563D4" w:rsidP="00401B37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>Информация</w:t>
      </w:r>
      <w:r w:rsidR="00BC25F4">
        <w:rPr>
          <w:b/>
          <w:i/>
        </w:rPr>
        <w:t xml:space="preserve"> о развитии института ОРВ </w:t>
      </w:r>
      <w:r w:rsidR="00E75327" w:rsidRPr="00E75327">
        <w:rPr>
          <w:b/>
          <w:i/>
        </w:rPr>
        <w:t>и нормативно-правовом обеспечении оценки применения</w:t>
      </w:r>
      <w:r w:rsidR="00E75327">
        <w:rPr>
          <w:b/>
          <w:i/>
        </w:rPr>
        <w:t xml:space="preserve"> </w:t>
      </w:r>
      <w:r w:rsidR="00401B37">
        <w:rPr>
          <w:b/>
          <w:i/>
        </w:rPr>
        <w:t xml:space="preserve">обязательных требований </w:t>
      </w:r>
      <w:r w:rsidR="00BC25F4">
        <w:rPr>
          <w:b/>
          <w:i/>
        </w:rPr>
        <w:t xml:space="preserve">в </w:t>
      </w:r>
      <w:r w:rsidR="001E643A">
        <w:rPr>
          <w:i/>
          <w:u w:val="single"/>
        </w:rPr>
        <w:t>__</w:t>
      </w:r>
      <w:r w:rsidR="000A5144">
        <w:rPr>
          <w:i/>
          <w:u w:val="single"/>
        </w:rPr>
        <w:t>Татарском муниципальном районе Новосибирской области</w:t>
      </w:r>
      <w:bookmarkStart w:id="0" w:name="_GoBack"/>
      <w:bookmarkEnd w:id="0"/>
      <w:r w:rsidR="00BC25F4">
        <w:rPr>
          <w:i/>
          <w:u w:val="single"/>
        </w:rPr>
        <w:t>_</w:t>
      </w:r>
      <w:r w:rsidR="00BC25F4">
        <w:rPr>
          <w:b/>
          <w:i/>
        </w:rPr>
        <w:t xml:space="preserve"> по состоянию на </w:t>
      </w:r>
      <w:r w:rsidR="002E7AEB">
        <w:rPr>
          <w:b/>
          <w:i/>
        </w:rPr>
        <w:t>01.07</w:t>
      </w:r>
      <w:r w:rsidR="00BC25F4">
        <w:rPr>
          <w:b/>
          <w:i/>
        </w:rPr>
        <w:t>.2023</w:t>
      </w:r>
      <w:r>
        <w:rPr>
          <w:rStyle w:val="af4"/>
          <w:b/>
          <w:i/>
        </w:rPr>
        <w:footnoteReference w:id="1"/>
      </w:r>
    </w:p>
    <w:p w:rsidR="001010F3" w:rsidRDefault="00E75327" w:rsidP="00E75327">
      <w:pPr>
        <w:tabs>
          <w:tab w:val="left" w:pos="-114"/>
          <w:tab w:val="left" w:pos="1080"/>
        </w:tabs>
        <w:rPr>
          <w:i/>
        </w:rPr>
      </w:pPr>
      <w:r>
        <w:rPr>
          <w:i/>
        </w:rPr>
        <w:t xml:space="preserve">                                      </w:t>
      </w:r>
      <w:r w:rsidR="00401B37">
        <w:rPr>
          <w:i/>
        </w:rPr>
        <w:t xml:space="preserve">      </w:t>
      </w:r>
      <w:r>
        <w:rPr>
          <w:i/>
        </w:rPr>
        <w:t xml:space="preserve"> </w:t>
      </w:r>
      <w:r w:rsidR="00BC25F4">
        <w:rPr>
          <w:i/>
        </w:rPr>
        <w:t xml:space="preserve">(наименование </w:t>
      </w:r>
      <w:r w:rsidR="005563D4">
        <w:rPr>
          <w:i/>
        </w:rPr>
        <w:t>городского округа / муниципального района</w:t>
      </w:r>
      <w:r w:rsidR="00BC25F4">
        <w:rPr>
          <w:i/>
        </w:rPr>
        <w:t>)</w:t>
      </w:r>
    </w:p>
    <w:p w:rsidR="001010F3" w:rsidRDefault="001010F3">
      <w:pPr>
        <w:tabs>
          <w:tab w:val="left" w:pos="-114"/>
          <w:tab w:val="left" w:pos="1080"/>
        </w:tabs>
        <w:jc w:val="right"/>
      </w:pPr>
    </w:p>
    <w:p w:rsidR="001010F3" w:rsidRDefault="001010F3">
      <w:pPr>
        <w:rPr>
          <w:vanish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559"/>
        <w:gridCol w:w="1701"/>
        <w:gridCol w:w="2127"/>
        <w:gridCol w:w="1701"/>
      </w:tblGrid>
      <w:tr w:rsidR="001010F3" w:rsidTr="00C57957">
        <w:trPr>
          <w:tblHeader/>
        </w:trPr>
        <w:tc>
          <w:tcPr>
            <w:tcW w:w="675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наличии (да/нет/</w:t>
            </w:r>
          </w:p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rStyle w:val="af4"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701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</w:p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МНПА/</w:t>
            </w:r>
          </w:p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1010F3" w:rsidTr="00C57957">
        <w:tc>
          <w:tcPr>
            <w:tcW w:w="675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010F3" w:rsidTr="00C57957">
        <w:tc>
          <w:tcPr>
            <w:tcW w:w="675" w:type="dxa"/>
            <w:vAlign w:val="center"/>
          </w:tcPr>
          <w:p w:rsidR="001010F3" w:rsidRDefault="00BC25F4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</w:tcPr>
          <w:p w:rsidR="001010F3" w:rsidRDefault="00BC25F4">
            <w:pPr>
              <w:pStyle w:val="afe"/>
              <w:spacing w:before="0" w:beforeAutospacing="0" w:after="0" w:afterAutospacing="0"/>
              <w:jc w:val="both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Наличие Порядка проведения ОРВ проектов МНПА, приведённого в соответствие с Законом НСО,</w:t>
            </w:r>
            <w:r>
              <w:rPr>
                <w:rFonts w:eastAsia="+mn-ea"/>
                <w:color w:val="000000"/>
                <w:vertAlign w:val="superscript"/>
              </w:rPr>
              <w:footnoteReference w:id="3"/>
            </w:r>
            <w:r>
              <w:rPr>
                <w:rFonts w:eastAsia="+mn-ea"/>
                <w:color w:val="000000"/>
              </w:rPr>
              <w:t xml:space="preserve"> и соответствующего требованиям Стандарта</w:t>
            </w:r>
            <w:r>
              <w:rPr>
                <w:rFonts w:eastAsia="+mn-ea"/>
                <w:color w:val="000000"/>
                <w:vertAlign w:val="superscript"/>
              </w:rPr>
              <w:footnoteReference w:id="4"/>
            </w:r>
          </w:p>
        </w:tc>
        <w:tc>
          <w:tcPr>
            <w:tcW w:w="1843" w:type="dxa"/>
          </w:tcPr>
          <w:p w:rsidR="001010F3" w:rsidRDefault="00F03D6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Pr="00B72C2D" w:rsidRDefault="00F03D6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F03D62">
              <w:rPr>
                <w:color w:val="0000FF"/>
                <w:sz w:val="24"/>
                <w:szCs w:val="24"/>
              </w:rPr>
              <w:t>https://regiontatarsk.nso.ru/page/1031</w:t>
            </w:r>
          </w:p>
        </w:tc>
        <w:tc>
          <w:tcPr>
            <w:tcW w:w="1701" w:type="dxa"/>
          </w:tcPr>
          <w:p w:rsidR="001010F3" w:rsidRPr="00B72C2D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010F3" w:rsidTr="00C57957">
        <w:tc>
          <w:tcPr>
            <w:tcW w:w="675" w:type="dxa"/>
            <w:vAlign w:val="center"/>
          </w:tcPr>
          <w:p w:rsidR="001010F3" w:rsidRDefault="00BC25F4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утверждённых форм документов, необходимых для проведения ОРВ</w:t>
            </w:r>
            <w:r>
              <w:rPr>
                <w:rFonts w:eastAsia="+mn-ea"/>
                <w:color w:val="000000"/>
                <w:vertAlign w:val="superscript"/>
              </w:rPr>
              <w:footnoteReference w:id="5"/>
            </w:r>
          </w:p>
        </w:tc>
        <w:tc>
          <w:tcPr>
            <w:tcW w:w="1843" w:type="dxa"/>
          </w:tcPr>
          <w:p w:rsidR="001010F3" w:rsidRDefault="00F03D62" w:rsidP="00F03D6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F03D6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03D62">
              <w:rPr>
                <w:color w:val="0000FF"/>
                <w:sz w:val="24"/>
                <w:szCs w:val="24"/>
              </w:rPr>
              <w:t>https://regiontatarsk.nso.ru/page/1031</w:t>
            </w: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c>
          <w:tcPr>
            <w:tcW w:w="675" w:type="dxa"/>
            <w:vAlign w:val="center"/>
          </w:tcPr>
          <w:p w:rsidR="001010F3" w:rsidRDefault="00127721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вопросы по ОРВ/количество заседа</w:t>
            </w:r>
            <w:r w:rsidR="00913F0A">
              <w:rPr>
                <w:sz w:val="24"/>
                <w:szCs w:val="24"/>
              </w:rPr>
              <w:t>ний за период с 01.01.2023 по 30.06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010F3" w:rsidRDefault="00F03D62" w:rsidP="00F03D6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B057D4">
              <w:rPr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B057D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по развитию малого и среднего предпринимат</w:t>
            </w:r>
            <w:r>
              <w:rPr>
                <w:sz w:val="24"/>
                <w:szCs w:val="24"/>
              </w:rPr>
              <w:lastRenderedPageBreak/>
              <w:t>ельства в Татарском районе</w:t>
            </w:r>
          </w:p>
        </w:tc>
      </w:tr>
      <w:tr w:rsidR="001010F3" w:rsidTr="00C57957">
        <w:tc>
          <w:tcPr>
            <w:tcW w:w="675" w:type="dxa"/>
            <w:vAlign w:val="center"/>
          </w:tcPr>
          <w:p w:rsidR="001010F3" w:rsidRDefault="00127721">
            <w:pPr>
              <w:pStyle w:val="afe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</w:t>
            </w:r>
          </w:p>
        </w:tc>
        <w:tc>
          <w:tcPr>
            <w:tcW w:w="1843" w:type="dxa"/>
          </w:tcPr>
          <w:p w:rsidR="001010F3" w:rsidRDefault="00B057D4" w:rsidP="00D351D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B057D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03D62">
              <w:rPr>
                <w:color w:val="0000FF"/>
                <w:sz w:val="24"/>
                <w:szCs w:val="24"/>
              </w:rPr>
              <w:t>https://regiontatarsk.nso.ru/page/1031</w:t>
            </w: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c>
          <w:tcPr>
            <w:tcW w:w="675" w:type="dxa"/>
            <w:vAlign w:val="center"/>
          </w:tcPr>
          <w:p w:rsidR="001010F3" w:rsidRDefault="00127721">
            <w:pPr>
              <w:pStyle w:val="afe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1010F3" w:rsidRDefault="00BC25F4">
            <w:pPr>
              <w:pStyle w:val="afe"/>
              <w:spacing w:before="0" w:beforeAutospacing="0" w:after="0" w:afterAutospacing="0"/>
              <w:jc w:val="both"/>
            </w:pPr>
            <w:r>
              <w:t>Количество мероприятий, посвященных ОРВ и (или) экспертизе, информация о которых размещена в публичном дост</w:t>
            </w:r>
            <w:r w:rsidR="00913F0A">
              <w:t>упе за период с 01.01.2023 по 30.06</w:t>
            </w:r>
            <w:r>
              <w:t>.2023</w:t>
            </w:r>
            <w:r>
              <w:rPr>
                <w:rStyle w:val="af4"/>
              </w:rPr>
              <w:footnoteReference w:id="6"/>
            </w:r>
          </w:p>
        </w:tc>
        <w:tc>
          <w:tcPr>
            <w:tcW w:w="1843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c>
          <w:tcPr>
            <w:tcW w:w="675" w:type="dxa"/>
            <w:vMerge w:val="restart"/>
            <w:vAlign w:val="center"/>
          </w:tcPr>
          <w:p w:rsidR="001010F3" w:rsidRDefault="00127721">
            <w:pPr>
              <w:pStyle w:val="afe"/>
              <w:spacing w:before="0" w:after="0"/>
              <w:jc w:val="center"/>
            </w:pPr>
            <w:r>
              <w:t>6</w:t>
            </w:r>
          </w:p>
        </w:tc>
        <w:tc>
          <w:tcPr>
            <w:tcW w:w="15168" w:type="dxa"/>
            <w:gridSpan w:val="6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положительных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ОРВ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7"/>
            </w:r>
          </w:p>
        </w:tc>
      </w:tr>
      <w:tr w:rsidR="001010F3" w:rsidTr="00C57957">
        <w:tc>
          <w:tcPr>
            <w:tcW w:w="675" w:type="dxa"/>
            <w:vMerge/>
            <w:vAlign w:val="center"/>
          </w:tcPr>
          <w:p w:rsidR="001010F3" w:rsidRDefault="001010F3">
            <w:pPr>
              <w:pStyle w:val="afe"/>
              <w:spacing w:before="0" w:after="0"/>
              <w:jc w:val="center"/>
            </w:pPr>
          </w:p>
        </w:tc>
        <w:tc>
          <w:tcPr>
            <w:tcW w:w="6237" w:type="dxa"/>
          </w:tcPr>
          <w:p w:rsidR="001010F3" w:rsidRDefault="00913F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01.01.2023 по 30.06</w:t>
            </w:r>
            <w:r w:rsidR="00BC25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010F3" w:rsidRDefault="00D351DE" w:rsidP="00D351D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c>
          <w:tcPr>
            <w:tcW w:w="675" w:type="dxa"/>
            <w:vMerge w:val="restart"/>
            <w:vAlign w:val="center"/>
          </w:tcPr>
          <w:p w:rsidR="001010F3" w:rsidRDefault="00127721">
            <w:pPr>
              <w:pStyle w:val="afe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7</w:t>
            </w:r>
          </w:p>
        </w:tc>
        <w:tc>
          <w:tcPr>
            <w:tcW w:w="15168" w:type="dxa"/>
            <w:gridSpan w:val="6"/>
          </w:tcPr>
          <w:p w:rsidR="001010F3" w:rsidRDefault="00BC25F4" w:rsidP="00B15E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ОРВ (ссылки на заключения)</w:t>
            </w:r>
            <w:r w:rsidR="00B15E91">
              <w:rPr>
                <w:rStyle w:val="af4"/>
                <w:b/>
                <w:sz w:val="24"/>
                <w:szCs w:val="24"/>
              </w:rPr>
              <w:footnoteReference w:id="8"/>
            </w:r>
          </w:p>
        </w:tc>
      </w:tr>
      <w:tr w:rsidR="001010F3" w:rsidTr="00C57957">
        <w:trPr>
          <w:trHeight w:val="437"/>
        </w:trPr>
        <w:tc>
          <w:tcPr>
            <w:tcW w:w="675" w:type="dxa"/>
            <w:vMerge/>
            <w:vAlign w:val="center"/>
          </w:tcPr>
          <w:p w:rsidR="001010F3" w:rsidRDefault="001010F3">
            <w:pPr>
              <w:pStyle w:val="afe"/>
              <w:spacing w:before="0" w:after="0"/>
              <w:jc w:val="center"/>
              <w:rPr>
                <w:rFonts w:eastAsia="+mn-ea"/>
                <w:color w:val="000000"/>
              </w:rPr>
            </w:pPr>
          </w:p>
        </w:tc>
        <w:tc>
          <w:tcPr>
            <w:tcW w:w="6237" w:type="dxa"/>
          </w:tcPr>
          <w:p w:rsidR="001010F3" w:rsidRDefault="00913F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01.01.2023 по 30.06</w:t>
            </w:r>
            <w:r w:rsidR="00BC25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010F3" w:rsidRDefault="00D351DE" w:rsidP="00D351D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rPr>
          <w:trHeight w:val="1590"/>
        </w:trPr>
        <w:tc>
          <w:tcPr>
            <w:tcW w:w="675" w:type="dxa"/>
            <w:vMerge w:val="restart"/>
            <w:vAlign w:val="center"/>
          </w:tcPr>
          <w:p w:rsidR="001010F3" w:rsidRDefault="00127721">
            <w:pPr>
              <w:pStyle w:val="afe"/>
              <w:spacing w:before="0" w:after="0"/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 Количество выявленных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 (в отрицательных заключениях об </w:t>
            </w:r>
            <w:r w:rsidR="00913F0A">
              <w:rPr>
                <w:sz w:val="24"/>
                <w:szCs w:val="24"/>
              </w:rPr>
              <w:t>ОРВ за период с 01.01.2023 по 30.06</w:t>
            </w:r>
            <w:r>
              <w:rPr>
                <w:sz w:val="24"/>
                <w:szCs w:val="24"/>
              </w:rPr>
              <w:t>.2023)</w:t>
            </w:r>
          </w:p>
        </w:tc>
        <w:tc>
          <w:tcPr>
            <w:tcW w:w="1843" w:type="dxa"/>
          </w:tcPr>
          <w:p w:rsidR="001010F3" w:rsidRDefault="00D351D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1010F3" w:rsidTr="00C57957">
        <w:trPr>
          <w:trHeight w:val="1210"/>
        </w:trPr>
        <w:tc>
          <w:tcPr>
            <w:tcW w:w="675" w:type="dxa"/>
            <w:vMerge/>
            <w:vAlign w:val="center"/>
          </w:tcPr>
          <w:p w:rsidR="001010F3" w:rsidRDefault="001010F3">
            <w:pPr>
              <w:pStyle w:val="afe"/>
              <w:spacing w:before="0" w:after="0"/>
              <w:jc w:val="center"/>
            </w:pP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 Количество положений,</w:t>
            </w:r>
            <w:r>
              <w:t xml:space="preserve"> </w:t>
            </w:r>
            <w:r>
              <w:rPr>
                <w:sz w:val="24"/>
                <w:szCs w:val="24"/>
              </w:rPr>
              <w:t>из числа указанных в пункте 9.1, устранённых разработчиком</w:t>
            </w:r>
            <w:r w:rsidR="00913F0A">
              <w:rPr>
                <w:sz w:val="24"/>
                <w:szCs w:val="24"/>
              </w:rPr>
              <w:t xml:space="preserve"> за период с 01.01.2023 по 30.06</w:t>
            </w:r>
            <w:r>
              <w:rPr>
                <w:sz w:val="24"/>
                <w:szCs w:val="24"/>
              </w:rPr>
              <w:t xml:space="preserve">.2023 </w:t>
            </w:r>
            <w:r>
              <w:rPr>
                <w:i/>
                <w:sz w:val="24"/>
                <w:szCs w:val="24"/>
              </w:rPr>
              <w:t>(в том числе по проектам МНПА, прошедшим ОРВ в 2022 году)</w:t>
            </w:r>
            <w:r>
              <w:rPr>
                <w:rStyle w:val="af4"/>
                <w:sz w:val="24"/>
                <w:szCs w:val="24"/>
              </w:rPr>
              <w:footnoteReference w:id="9"/>
            </w:r>
          </w:p>
        </w:tc>
        <w:tc>
          <w:tcPr>
            <w:tcW w:w="1843" w:type="dxa"/>
          </w:tcPr>
          <w:p w:rsidR="001010F3" w:rsidRDefault="00D351D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1010F3" w:rsidTr="00C57957">
        <w:trPr>
          <w:trHeight w:val="85"/>
        </w:trPr>
        <w:tc>
          <w:tcPr>
            <w:tcW w:w="675" w:type="dxa"/>
            <w:vAlign w:val="center"/>
          </w:tcPr>
          <w:p w:rsidR="001010F3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плана проведения экспертизы МНПА на первое </w:t>
            </w:r>
            <w:r>
              <w:rPr>
                <w:sz w:val="24"/>
                <w:szCs w:val="24"/>
              </w:rPr>
              <w:lastRenderedPageBreak/>
              <w:t xml:space="preserve">полугодие 2023 года или на 2023 год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</w:t>
            </w:r>
          </w:p>
        </w:tc>
        <w:tc>
          <w:tcPr>
            <w:tcW w:w="1843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Pr="00D351DE" w:rsidRDefault="00D351DE">
            <w:pPr>
              <w:tabs>
                <w:tab w:val="left" w:pos="-114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351DE">
              <w:rPr>
                <w:sz w:val="20"/>
                <w:szCs w:val="20"/>
              </w:rPr>
              <w:t xml:space="preserve">Распоряжение от администрации </w:t>
            </w:r>
            <w:r w:rsidRPr="00D351DE">
              <w:rPr>
                <w:sz w:val="20"/>
                <w:szCs w:val="20"/>
              </w:rPr>
              <w:lastRenderedPageBreak/>
              <w:t>Татарского муниципального района Новосибирской области от 21.12.2022 №505 Об утверждении плана проведения экспертизы муниципальных нормативно-правовых актов Татарского муниципального района Новосибирской области, затрагивающих вопросы осуществления предпринимательской и инвестиционной деятельности на 2023 год.</w:t>
            </w:r>
          </w:p>
        </w:tc>
        <w:tc>
          <w:tcPr>
            <w:tcW w:w="2127" w:type="dxa"/>
          </w:tcPr>
          <w:p w:rsidR="001010F3" w:rsidRDefault="00D351DE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351DE">
              <w:rPr>
                <w:sz w:val="24"/>
                <w:szCs w:val="24"/>
              </w:rPr>
              <w:lastRenderedPageBreak/>
              <w:t>https://regiontatars</w:t>
            </w:r>
            <w:r w:rsidRPr="00D351DE">
              <w:rPr>
                <w:sz w:val="24"/>
                <w:szCs w:val="24"/>
              </w:rPr>
              <w:lastRenderedPageBreak/>
              <w:t>k.nso.ru/page/2032</w:t>
            </w: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c>
          <w:tcPr>
            <w:tcW w:w="675" w:type="dxa"/>
            <w:vMerge w:val="restart"/>
            <w:vAlign w:val="center"/>
          </w:tcPr>
          <w:p w:rsidR="001010F3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168" w:type="dxa"/>
            <w:gridSpan w:val="6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положительных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экспертизе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10"/>
            </w:r>
          </w:p>
        </w:tc>
      </w:tr>
      <w:tr w:rsidR="001010F3" w:rsidTr="00C57957">
        <w:tc>
          <w:tcPr>
            <w:tcW w:w="675" w:type="dxa"/>
            <w:vMerge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F3" w:rsidRDefault="00913F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01.01.2023 по 30.06</w:t>
            </w:r>
            <w:r w:rsidR="00BC25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010F3" w:rsidRDefault="00AB4F34" w:rsidP="00AB4F3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Да/3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c>
          <w:tcPr>
            <w:tcW w:w="675" w:type="dxa"/>
            <w:vMerge w:val="restart"/>
            <w:vAlign w:val="center"/>
          </w:tcPr>
          <w:p w:rsidR="001010F3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68" w:type="dxa"/>
            <w:gridSpan w:val="6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экспертизе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11"/>
            </w:r>
          </w:p>
        </w:tc>
      </w:tr>
      <w:tr w:rsidR="001010F3" w:rsidTr="00C57957">
        <w:trPr>
          <w:trHeight w:val="146"/>
        </w:trPr>
        <w:tc>
          <w:tcPr>
            <w:tcW w:w="675" w:type="dxa"/>
            <w:vMerge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период с </w:t>
            </w:r>
            <w:r w:rsidR="00913F0A">
              <w:rPr>
                <w:sz w:val="24"/>
                <w:szCs w:val="24"/>
              </w:rPr>
              <w:t>01.01.2023 по 30.06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010F3" w:rsidRDefault="00AB4F34" w:rsidP="00AB4F3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rPr>
          <w:trHeight w:val="141"/>
        </w:trPr>
        <w:tc>
          <w:tcPr>
            <w:tcW w:w="675" w:type="dxa"/>
            <w:vMerge w:val="restart"/>
            <w:vAlign w:val="center"/>
          </w:tcPr>
          <w:p w:rsidR="001010F3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 Количество выявленных положений, необоснованно затрудняющих осуществление предпринимательской и инвестиционной деятельности (в отрицательных заключениях об эксперт</w:t>
            </w:r>
            <w:r w:rsidR="00913F0A">
              <w:rPr>
                <w:sz w:val="24"/>
                <w:szCs w:val="24"/>
              </w:rPr>
              <w:t xml:space="preserve">изе за период с 01.01.2023 по </w:t>
            </w:r>
            <w:r w:rsidR="00913F0A">
              <w:rPr>
                <w:sz w:val="24"/>
                <w:szCs w:val="24"/>
              </w:rPr>
              <w:lastRenderedPageBreak/>
              <w:t>30.06</w:t>
            </w:r>
            <w:r>
              <w:rPr>
                <w:sz w:val="24"/>
                <w:szCs w:val="24"/>
              </w:rPr>
              <w:t>.2023)</w:t>
            </w:r>
          </w:p>
        </w:tc>
        <w:tc>
          <w:tcPr>
            <w:tcW w:w="1843" w:type="dxa"/>
          </w:tcPr>
          <w:p w:rsidR="001010F3" w:rsidRDefault="00AB4F34" w:rsidP="00AB4F3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1010F3" w:rsidTr="00C57957">
        <w:trPr>
          <w:trHeight w:val="150"/>
        </w:trPr>
        <w:tc>
          <w:tcPr>
            <w:tcW w:w="675" w:type="dxa"/>
            <w:vMerge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13.2. Количество положений,</w:t>
            </w:r>
            <w:r>
              <w:t xml:space="preserve"> </w:t>
            </w:r>
            <w:r>
              <w:rPr>
                <w:sz w:val="24"/>
                <w:szCs w:val="24"/>
              </w:rPr>
              <w:t>из числа указанных в пункте 13.1, устранённых разработчи</w:t>
            </w:r>
            <w:r w:rsidR="00913F0A">
              <w:rPr>
                <w:sz w:val="24"/>
                <w:szCs w:val="24"/>
              </w:rPr>
              <w:t>ком за период с 01.01.2023 по 30.06</w:t>
            </w:r>
            <w:r>
              <w:rPr>
                <w:sz w:val="24"/>
                <w:szCs w:val="24"/>
              </w:rPr>
              <w:t xml:space="preserve">.2023 </w:t>
            </w:r>
            <w:r>
              <w:rPr>
                <w:i/>
                <w:sz w:val="24"/>
                <w:szCs w:val="24"/>
              </w:rPr>
              <w:t>(в том числе по МНПА, прошедшим экспертизу в 2022 года)</w:t>
            </w:r>
            <w:r>
              <w:rPr>
                <w:rStyle w:val="af4"/>
                <w:sz w:val="24"/>
                <w:szCs w:val="24"/>
              </w:rPr>
              <w:footnoteReference w:id="12"/>
            </w:r>
          </w:p>
        </w:tc>
        <w:tc>
          <w:tcPr>
            <w:tcW w:w="1843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010F3" w:rsidTr="00C57957">
        <w:trPr>
          <w:trHeight w:val="96"/>
        </w:trPr>
        <w:tc>
          <w:tcPr>
            <w:tcW w:w="675" w:type="dxa"/>
            <w:vMerge w:val="restart"/>
            <w:vAlign w:val="center"/>
          </w:tcPr>
          <w:p w:rsidR="001010F3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68" w:type="dxa"/>
            <w:gridSpan w:val="6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участников публичных консультаций по ОРВ и экспертизе</w:t>
            </w:r>
            <w:r>
              <w:rPr>
                <w:rStyle w:val="af4"/>
                <w:sz w:val="24"/>
                <w:szCs w:val="24"/>
              </w:rPr>
              <w:footnoteReference w:id="13"/>
            </w:r>
          </w:p>
        </w:tc>
      </w:tr>
      <w:tr w:rsidR="001010F3" w:rsidTr="00C57957">
        <w:trPr>
          <w:trHeight w:val="96"/>
        </w:trPr>
        <w:tc>
          <w:tcPr>
            <w:tcW w:w="675" w:type="dxa"/>
            <w:vMerge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F3" w:rsidRDefault="00913F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01.01.2023 по 30.06</w:t>
            </w:r>
            <w:r w:rsidR="00BC25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010F3" w:rsidRPr="00AB4F34" w:rsidRDefault="00AB4F3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010F3" w:rsidRDefault="00BC25F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F3" w:rsidRDefault="001010F3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127721" w:rsidRPr="0004187C" w:rsidTr="00C57957">
        <w:trPr>
          <w:trHeight w:val="96"/>
        </w:trPr>
        <w:tc>
          <w:tcPr>
            <w:tcW w:w="675" w:type="dxa"/>
            <w:vMerge w:val="restart"/>
            <w:vAlign w:val="center"/>
          </w:tcPr>
          <w:p w:rsidR="00127721" w:rsidRPr="002E24AE" w:rsidRDefault="00127721" w:rsidP="00C07C9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68" w:type="dxa"/>
            <w:gridSpan w:val="6"/>
          </w:tcPr>
          <w:p w:rsidR="00127721" w:rsidRPr="002E24AE" w:rsidRDefault="00D64415" w:rsidP="00D6441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оценки</w:t>
            </w:r>
            <w:r w:rsidR="00127721" w:rsidRPr="002E24AE">
              <w:rPr>
                <w:sz w:val="24"/>
                <w:szCs w:val="24"/>
              </w:rPr>
              <w:t xml:space="preserve"> применения обязательных требований</w:t>
            </w:r>
          </w:p>
        </w:tc>
      </w:tr>
      <w:tr w:rsidR="00127721" w:rsidRPr="0004187C" w:rsidTr="00C57957">
        <w:trPr>
          <w:trHeight w:val="96"/>
        </w:trPr>
        <w:tc>
          <w:tcPr>
            <w:tcW w:w="675" w:type="dxa"/>
            <w:vMerge/>
            <w:vAlign w:val="center"/>
          </w:tcPr>
          <w:p w:rsidR="00127721" w:rsidRPr="002E24AE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7721" w:rsidRPr="002E24AE" w:rsidRDefault="00127721" w:rsidP="0004187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2E24AE">
              <w:rPr>
                <w:rStyle w:val="af4"/>
                <w:sz w:val="24"/>
                <w:szCs w:val="24"/>
              </w:rPr>
              <w:footnoteReference w:id="14"/>
            </w:r>
          </w:p>
        </w:tc>
        <w:tc>
          <w:tcPr>
            <w:tcW w:w="1843" w:type="dxa"/>
          </w:tcPr>
          <w:p w:rsidR="00127721" w:rsidRPr="00AB4F34" w:rsidRDefault="00AB4F3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559" w:type="dxa"/>
            <w:vAlign w:val="center"/>
          </w:tcPr>
          <w:p w:rsidR="00127721" w:rsidRPr="002E24AE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7721" w:rsidRPr="002E24AE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7721" w:rsidRPr="002E24AE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721" w:rsidRPr="002E24AE" w:rsidRDefault="00127721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F179D0" w:rsidRPr="0004187C" w:rsidTr="00C57957">
        <w:trPr>
          <w:trHeight w:val="96"/>
        </w:trPr>
        <w:tc>
          <w:tcPr>
            <w:tcW w:w="675" w:type="dxa"/>
            <w:vAlign w:val="center"/>
          </w:tcPr>
          <w:p w:rsidR="00F179D0" w:rsidRPr="002E24AE" w:rsidRDefault="0012772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179D0" w:rsidRPr="002E24AE" w:rsidRDefault="00F179D0" w:rsidP="0004187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2E24AE">
              <w:rPr>
                <w:rStyle w:val="af4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</w:tcPr>
          <w:p w:rsidR="00F179D0" w:rsidRPr="002E24AE" w:rsidRDefault="00F179D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79D0" w:rsidRPr="002E24AE" w:rsidRDefault="001E64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2023</w:t>
            </w:r>
          </w:p>
        </w:tc>
        <w:tc>
          <w:tcPr>
            <w:tcW w:w="1701" w:type="dxa"/>
            <w:vAlign w:val="center"/>
          </w:tcPr>
          <w:p w:rsidR="00F179D0" w:rsidRPr="002E24AE" w:rsidRDefault="00F179D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179D0" w:rsidRPr="002E24AE" w:rsidRDefault="00F179D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D0" w:rsidRPr="002E24AE" w:rsidRDefault="00F179D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A7DA4" w:rsidRPr="0004187C" w:rsidTr="00C57957">
        <w:trPr>
          <w:trHeight w:val="96"/>
        </w:trPr>
        <w:tc>
          <w:tcPr>
            <w:tcW w:w="675" w:type="dxa"/>
            <w:vAlign w:val="center"/>
          </w:tcPr>
          <w:p w:rsidR="002A7DA4" w:rsidRPr="002E24AE" w:rsidRDefault="0008672C" w:rsidP="002A7DA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A7DA4" w:rsidRPr="002E24AE" w:rsidRDefault="00556A10" w:rsidP="0004187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</w:t>
            </w:r>
            <w:r w:rsidR="002A7DA4" w:rsidRPr="002E24AE">
              <w:rPr>
                <w:sz w:val="24"/>
                <w:szCs w:val="24"/>
              </w:rPr>
              <w:t>нных форм документов для целей проведения оценки применения обязательных требований (</w:t>
            </w:r>
            <w:r w:rsidR="00290118" w:rsidRPr="002E24AE">
              <w:rPr>
                <w:sz w:val="24"/>
                <w:szCs w:val="24"/>
              </w:rPr>
              <w:t xml:space="preserve">аналитическая </w:t>
            </w:r>
            <w:r w:rsidR="002A7DA4" w:rsidRPr="002E24AE">
              <w:rPr>
                <w:sz w:val="24"/>
                <w:szCs w:val="24"/>
              </w:rPr>
              <w:t>справка, заключение об оценке применения)</w:t>
            </w:r>
          </w:p>
        </w:tc>
        <w:tc>
          <w:tcPr>
            <w:tcW w:w="1843" w:type="dxa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7DA4" w:rsidRPr="002E24AE" w:rsidRDefault="001E64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2023</w:t>
            </w:r>
          </w:p>
        </w:tc>
        <w:tc>
          <w:tcPr>
            <w:tcW w:w="1701" w:type="dxa"/>
            <w:vAlign w:val="center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4187C" w:rsidRPr="0004187C" w:rsidTr="00C57957">
        <w:trPr>
          <w:trHeight w:val="96"/>
        </w:trPr>
        <w:tc>
          <w:tcPr>
            <w:tcW w:w="675" w:type="dxa"/>
            <w:vAlign w:val="center"/>
          </w:tcPr>
          <w:p w:rsidR="0004187C" w:rsidRPr="002E24AE" w:rsidRDefault="0004187C" w:rsidP="0029011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1</w:t>
            </w:r>
            <w:r w:rsidR="0008672C" w:rsidRPr="002E24AE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A7DA4" w:rsidRPr="002E24AE" w:rsidRDefault="002A7DA4" w:rsidP="005563D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Наличие утвержденных перечней НПА</w:t>
            </w:r>
            <w:r w:rsidRPr="002E24AE">
              <w:t xml:space="preserve"> </w:t>
            </w:r>
            <w:r w:rsidRPr="002E24AE">
              <w:rPr>
                <w:sz w:val="24"/>
                <w:szCs w:val="24"/>
              </w:rPr>
              <w:t>(их отдельных положений), содержащих обязательные требования, оценка соблюдения которых осуществляется в рамках государственного контроля (надзора)</w:t>
            </w:r>
            <w:r w:rsidRPr="002E24AE">
              <w:rPr>
                <w:rStyle w:val="af4"/>
                <w:sz w:val="24"/>
                <w:szCs w:val="24"/>
              </w:rPr>
              <w:footnoteReference w:id="16"/>
            </w:r>
            <w:r w:rsidRPr="002E24AE">
              <w:rPr>
                <w:sz w:val="24"/>
                <w:szCs w:val="24"/>
              </w:rPr>
              <w:t>, муниципального контроля (надзора), привлечения к административной ответственности, предоставления лицензий и иных разрешений, с текстами действу</w:t>
            </w:r>
            <w:r w:rsidR="00D46AAE">
              <w:rPr>
                <w:sz w:val="24"/>
                <w:szCs w:val="24"/>
              </w:rPr>
              <w:t xml:space="preserve">ющих нормативных правовых актов </w:t>
            </w:r>
          </w:p>
        </w:tc>
        <w:tc>
          <w:tcPr>
            <w:tcW w:w="1843" w:type="dxa"/>
          </w:tcPr>
          <w:p w:rsidR="0004187C" w:rsidRPr="002E24AE" w:rsidRDefault="0004187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87C" w:rsidRPr="002E24AE" w:rsidRDefault="001E64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2023</w:t>
            </w:r>
          </w:p>
        </w:tc>
        <w:tc>
          <w:tcPr>
            <w:tcW w:w="1701" w:type="dxa"/>
            <w:vAlign w:val="center"/>
          </w:tcPr>
          <w:p w:rsidR="0004187C" w:rsidRPr="002E24AE" w:rsidRDefault="0004187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4187C" w:rsidRPr="002E24AE" w:rsidRDefault="0004187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7C" w:rsidRPr="002E24AE" w:rsidRDefault="0004187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A7DA4" w:rsidRPr="0004187C" w:rsidTr="00C57957">
        <w:trPr>
          <w:trHeight w:val="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A4" w:rsidRPr="002E24AE" w:rsidRDefault="002A7DA4" w:rsidP="0029011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lastRenderedPageBreak/>
              <w:t>1</w:t>
            </w:r>
            <w:r w:rsidR="0008672C" w:rsidRPr="002E24AE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A4" w:rsidRPr="002E24AE" w:rsidRDefault="002A7DA4" w:rsidP="005563D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Наличие МНПА, содержащих обязательные требования, с установленным сроком действия</w:t>
            </w:r>
            <w:r w:rsidRPr="002E24AE">
              <w:rPr>
                <w:rStyle w:val="af4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A4" w:rsidRPr="002E24AE" w:rsidRDefault="002A7DA4" w:rsidP="0075093D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A4" w:rsidRPr="002E24AE" w:rsidRDefault="001E643A" w:rsidP="0075093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A4" w:rsidRPr="002E24AE" w:rsidRDefault="002A7DA4" w:rsidP="0075093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A4" w:rsidRPr="002E24AE" w:rsidRDefault="002A7DA4" w:rsidP="0075093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A4" w:rsidRPr="002E24AE" w:rsidRDefault="002A7DA4" w:rsidP="0075093D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A7DA4" w:rsidRPr="0004187C" w:rsidTr="00C57957">
        <w:trPr>
          <w:trHeight w:val="96"/>
        </w:trPr>
        <w:tc>
          <w:tcPr>
            <w:tcW w:w="675" w:type="dxa"/>
            <w:vAlign w:val="center"/>
          </w:tcPr>
          <w:p w:rsidR="002A7DA4" w:rsidRPr="002E24AE" w:rsidRDefault="0008672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A7DA4" w:rsidRPr="002E24AE" w:rsidRDefault="002A7DA4" w:rsidP="005563D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E24AE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2E24AE">
              <w:rPr>
                <w:rStyle w:val="af4"/>
                <w:sz w:val="24"/>
                <w:szCs w:val="24"/>
              </w:rPr>
              <w:footnoteReference w:id="18"/>
            </w:r>
          </w:p>
        </w:tc>
        <w:tc>
          <w:tcPr>
            <w:tcW w:w="1843" w:type="dxa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7DA4" w:rsidRPr="002E24AE" w:rsidRDefault="001E64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2023</w:t>
            </w:r>
          </w:p>
        </w:tc>
        <w:tc>
          <w:tcPr>
            <w:tcW w:w="1701" w:type="dxa"/>
            <w:vAlign w:val="center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DA4" w:rsidRPr="002E24AE" w:rsidRDefault="002A7DA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C25F4" w:rsidRDefault="00BC25F4" w:rsidP="00BC40E4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938"/>
      </w:tblGrid>
      <w:tr w:rsidR="00C57957" w:rsidTr="00C57957">
        <w:tc>
          <w:tcPr>
            <w:tcW w:w="7905" w:type="dxa"/>
            <w:shd w:val="clear" w:color="auto" w:fill="FFFFFF"/>
          </w:tcPr>
          <w:p w:rsidR="00C57957" w:rsidRDefault="00C57957" w:rsidP="005F5F7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Специалист(ы) ОМСУ, ответственный(е) за</w:t>
            </w:r>
          </w:p>
          <w:p w:rsidR="00C57957" w:rsidRDefault="00C57957" w:rsidP="005F5F70">
            <w:pPr>
              <w:tabs>
                <w:tab w:val="left" w:pos="-114"/>
                <w:tab w:val="left" w:pos="1080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проведение ОРВ, экспертизы в МО НСО, а также </w:t>
            </w:r>
          </w:p>
          <w:p w:rsidR="00C57957" w:rsidRDefault="00C57957" w:rsidP="005F5F7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работу в ГИС «Электронная демократия Новосибирской области»</w:t>
            </w:r>
          </w:p>
        </w:tc>
        <w:tc>
          <w:tcPr>
            <w:tcW w:w="7938" w:type="dxa"/>
          </w:tcPr>
          <w:p w:rsidR="00C57957" w:rsidRDefault="00C57957" w:rsidP="005F5F7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Специалист(ы) ОМСУ, ответственный(е) за</w:t>
            </w:r>
          </w:p>
          <w:p w:rsidR="00C57957" w:rsidRDefault="00C57957" w:rsidP="005F5F7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оценки применения обязательных требований в МО НСО</w:t>
            </w:r>
          </w:p>
        </w:tc>
      </w:tr>
      <w:tr w:rsidR="00C57957" w:rsidTr="00C57957">
        <w:tc>
          <w:tcPr>
            <w:tcW w:w="7905" w:type="dxa"/>
            <w:shd w:val="clear" w:color="auto" w:fill="FFFFFF"/>
          </w:tcPr>
          <w:p w:rsidR="00C57957" w:rsidRDefault="00AB4F34" w:rsidP="005F5F70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Корнеева Анна Николаевна</w:t>
            </w:r>
          </w:p>
        </w:tc>
        <w:tc>
          <w:tcPr>
            <w:tcW w:w="7938" w:type="dxa"/>
          </w:tcPr>
          <w:p w:rsidR="00C57957" w:rsidRDefault="001E643A" w:rsidP="005F5F70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Корнеева Анна Николаевна</w:t>
            </w:r>
          </w:p>
        </w:tc>
      </w:tr>
      <w:tr w:rsidR="001E643A" w:rsidTr="00E96243">
        <w:tc>
          <w:tcPr>
            <w:tcW w:w="7905" w:type="dxa"/>
            <w:shd w:val="clear" w:color="auto" w:fill="FFFFFF"/>
          </w:tcPr>
          <w:p w:rsidR="001E643A" w:rsidRDefault="001E643A" w:rsidP="001E643A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Главный специалист управления экономического развития инвестиций и трудовых отношений </w:t>
            </w:r>
          </w:p>
        </w:tc>
        <w:tc>
          <w:tcPr>
            <w:tcW w:w="7938" w:type="dxa"/>
            <w:shd w:val="clear" w:color="auto" w:fill="FFFFFF"/>
          </w:tcPr>
          <w:p w:rsidR="001E643A" w:rsidRDefault="001E643A" w:rsidP="001E643A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Главный специалист управления экономического развития инвестиций и трудовых отношений </w:t>
            </w:r>
          </w:p>
        </w:tc>
      </w:tr>
      <w:tr w:rsidR="001E643A" w:rsidTr="00C57957">
        <w:tc>
          <w:tcPr>
            <w:tcW w:w="7905" w:type="dxa"/>
            <w:tcBorders>
              <w:bottom w:val="single" w:sz="4" w:space="0" w:color="000000"/>
            </w:tcBorders>
            <w:shd w:val="clear" w:color="auto" w:fill="FFFFFF"/>
          </w:tcPr>
          <w:p w:rsidR="001E643A" w:rsidRPr="00AB4F34" w:rsidRDefault="001E643A" w:rsidP="001E643A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Контактный телефон, e-mail:8(38364)22085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AB4F34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AB4F34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AB4F34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938" w:type="dxa"/>
          </w:tcPr>
          <w:p w:rsidR="001E643A" w:rsidRDefault="001E643A" w:rsidP="001E643A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Контактный телефон, e-</w:t>
            </w:r>
            <w:proofErr w:type="spellStart"/>
            <w:r>
              <w:rPr>
                <w:i/>
                <w:sz w:val="24"/>
                <w:szCs w:val="24"/>
              </w:rPr>
              <w:t>mail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 xml:space="preserve">8(38364)22085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AB4F34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AB4F34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AB4F34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57957" w:rsidRDefault="00C57957" w:rsidP="00BC40E4"/>
    <w:sectPr w:rsidR="00C57957" w:rsidSect="00BC40E4">
      <w:type w:val="continuous"/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2D" w:rsidRDefault="00B72C2D">
      <w:r>
        <w:separator/>
      </w:r>
    </w:p>
  </w:endnote>
  <w:endnote w:type="continuationSeparator" w:id="0">
    <w:p w:rsidR="00B72C2D" w:rsidRDefault="00B7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2D" w:rsidRDefault="00B72C2D">
      <w:r>
        <w:separator/>
      </w:r>
    </w:p>
  </w:footnote>
  <w:footnote w:type="continuationSeparator" w:id="0">
    <w:p w:rsidR="00B72C2D" w:rsidRDefault="00B72C2D">
      <w:r>
        <w:continuationSeparator/>
      </w:r>
    </w:p>
  </w:footnote>
  <w:footnote w:id="1">
    <w:p w:rsidR="005563D4" w:rsidRDefault="005563D4" w:rsidP="00FB2AC3">
      <w:pPr>
        <w:pStyle w:val="af2"/>
        <w:jc w:val="both"/>
      </w:pPr>
      <w:r>
        <w:rPr>
          <w:rStyle w:val="af4"/>
        </w:rPr>
        <w:footnoteRef/>
      </w:r>
      <w:r w:rsidRPr="005563D4">
        <w:t>Информация предоставляется без учета муниципальных образований, входящих в состав муниципального района.</w:t>
      </w:r>
    </w:p>
  </w:footnote>
  <w:footnote w:id="2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В случае отсутствия указывается 0.</w:t>
      </w:r>
    </w:p>
  </w:footnote>
  <w:footnote w:id="3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Закон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</w:footnote>
  <w:footnote w:id="4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Требования Стандарта – требования, установленные приказом Минэкономразвития НСО от 14.0</w:t>
      </w:r>
      <w:r w:rsidR="00556A10">
        <w:t>7.2016 №</w:t>
      </w:r>
      <w:r w:rsidR="00556A10">
        <w:rPr>
          <w:lang w:val="en-US"/>
        </w:rPr>
        <w:t> </w:t>
      </w:r>
      <w:r>
        <w:t>79 «Об утверждении муниципального инвестиционного стандарта Новосибирской области».</w:t>
      </w:r>
    </w:p>
  </w:footnote>
  <w:footnote w:id="5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Закон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</w:footnote>
  <w:footnote w:id="6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 xml:space="preserve">Указывается количество публичных мероприятий </w:t>
      </w:r>
      <w:r>
        <w:rPr>
          <w:i/>
        </w:rPr>
        <w:t>(совещания, круглые столы и др.)</w:t>
      </w:r>
      <w:r>
        <w:t>, посвященные ОРВ, экспертизе, оценке применения обязательных требований.</w:t>
      </w:r>
    </w:p>
  </w:footnote>
  <w:footnote w:id="7">
    <w:p w:rsidR="001010F3" w:rsidRDefault="00BC25F4" w:rsidP="00FB2AC3">
      <w:pPr>
        <w:pStyle w:val="af2"/>
        <w:jc w:val="both"/>
      </w:pPr>
      <w:r>
        <w:rPr>
          <w:vertAlign w:val="superscript"/>
        </w:rPr>
        <w:footnoteRef/>
      </w:r>
      <w:r>
        <w:t>Заключение, в результате подготовки которого не выявлены положения (положение), вводящие(ее)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</w:p>
    <w:p w:rsidR="001010F3" w:rsidRDefault="001010F3" w:rsidP="00FB2AC3">
      <w:pPr>
        <w:pStyle w:val="af2"/>
        <w:jc w:val="both"/>
        <w:rPr>
          <w:sz w:val="2"/>
          <w:szCs w:val="2"/>
        </w:rPr>
      </w:pPr>
    </w:p>
  </w:footnote>
  <w:footnote w:id="8">
    <w:p w:rsidR="00B15E91" w:rsidRDefault="00B15E91" w:rsidP="00FB2AC3">
      <w:pPr>
        <w:pStyle w:val="af2"/>
        <w:jc w:val="both"/>
      </w:pPr>
      <w:r>
        <w:rPr>
          <w:rStyle w:val="af4"/>
        </w:rPr>
        <w:footnoteRef/>
      </w:r>
      <w:r w:rsidRPr="00B15E91">
        <w:t>Заключение, в результате подготовки которого выявлены положения (по</w:t>
      </w:r>
      <w:r w:rsidR="00F179D0">
        <w:t>ложение), указанные в сноске № 8</w:t>
      </w:r>
      <w:r w:rsidRPr="00B15E91">
        <w:t>.</w:t>
      </w:r>
    </w:p>
  </w:footnote>
  <w:footnote w:id="9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В соответствующей ячейке таблицы указываются реквизиты МНПА, принятых с учётом отрицательных заключений об ОРВ.</w:t>
      </w:r>
    </w:p>
  </w:footnote>
  <w:footnote w:id="10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не выявлены положения (положение), необоснованно затрудняющие(ее) осуществление предпринимательской и иной экономической деятельности.</w:t>
      </w:r>
    </w:p>
  </w:footnote>
  <w:footnote w:id="11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выявлены положения (пол</w:t>
      </w:r>
      <w:r w:rsidR="004B7D86">
        <w:t>ожение), указанные в сноске № 11</w:t>
      </w:r>
      <w:r>
        <w:t>.</w:t>
      </w:r>
    </w:p>
  </w:footnote>
  <w:footnote w:id="12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>В соответствующей ячейке таблицы указываются реквизиты МНПА, принятых с учётом отрицательных заключений об экспертизе.</w:t>
      </w:r>
    </w:p>
  </w:footnote>
  <w:footnote w:id="13">
    <w:p w:rsidR="001010F3" w:rsidRDefault="00BC25F4" w:rsidP="00FB2AC3">
      <w:pPr>
        <w:pStyle w:val="af2"/>
        <w:jc w:val="both"/>
      </w:pPr>
      <w:r>
        <w:rPr>
          <w:rStyle w:val="af4"/>
        </w:rPr>
        <w:footnoteRef/>
      </w:r>
      <w:r>
        <w:t xml:space="preserve">Указывается количество участников публичных консультаций, от которых разработчику поступили отзывы на МНПА (проект МНПА) (замечания, предложения, либо информация об их отсутствии). </w:t>
      </w:r>
    </w:p>
  </w:footnote>
  <w:footnote w:id="14">
    <w:p w:rsidR="00127721" w:rsidRDefault="00127721" w:rsidP="00127721">
      <w:pPr>
        <w:pStyle w:val="af2"/>
        <w:jc w:val="both"/>
      </w:pPr>
      <w:r>
        <w:rPr>
          <w:rStyle w:val="af4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15">
    <w:p w:rsidR="00F179D0" w:rsidRDefault="00F179D0" w:rsidP="003F6809">
      <w:pPr>
        <w:pStyle w:val="af2"/>
        <w:jc w:val="both"/>
      </w:pPr>
      <w:r>
        <w:rPr>
          <w:rStyle w:val="af4"/>
        </w:rPr>
        <w:footnoteRef/>
      </w:r>
      <w:r w:rsidR="003F6809">
        <w:t>О</w:t>
      </w:r>
      <w:r w:rsidR="003F6809" w:rsidRPr="0004187C">
        <w:t>существляется уполн</w:t>
      </w:r>
      <w:r w:rsidR="003F6809">
        <w:t>омоченным структурным подразделением местной администрации</w:t>
      </w:r>
      <w:r w:rsidR="003F6809" w:rsidRPr="0004187C">
        <w:t xml:space="preserve"> ежегодно до 25 декабря текущего года</w:t>
      </w:r>
      <w:r w:rsidR="003F6809">
        <w:t xml:space="preserve">. </w:t>
      </w:r>
    </w:p>
  </w:footnote>
  <w:footnote w:id="16">
    <w:p w:rsidR="002A7DA4" w:rsidRDefault="002A7DA4" w:rsidP="003F6809">
      <w:pPr>
        <w:pStyle w:val="af2"/>
        <w:jc w:val="both"/>
      </w:pPr>
      <w:r>
        <w:rPr>
          <w:rStyle w:val="af4"/>
        </w:rPr>
        <w:footnoteRef/>
      </w:r>
      <w:r w:rsidR="00F179D0">
        <w:t>В случае</w:t>
      </w:r>
      <w:r w:rsidR="003B26C2">
        <w:t>,</w:t>
      </w:r>
      <w:r w:rsidR="00F179D0">
        <w:t xml:space="preserve"> если полномочия по осуществлению государственного</w:t>
      </w:r>
      <w:r w:rsidR="00545E2E">
        <w:t xml:space="preserve"> контроля (надзора) переданы муниципальному образованию</w:t>
      </w:r>
      <w:r w:rsidR="00F179D0">
        <w:t>.</w:t>
      </w:r>
    </w:p>
  </w:footnote>
  <w:footnote w:id="17">
    <w:p w:rsidR="002A7DA4" w:rsidRDefault="002A7DA4" w:rsidP="003F6809">
      <w:pPr>
        <w:pStyle w:val="af2"/>
        <w:jc w:val="both"/>
      </w:pPr>
      <w:r>
        <w:rPr>
          <w:rStyle w:val="af4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2A7DA4" w:rsidRDefault="002A7DA4" w:rsidP="003F6809">
      <w:pPr>
        <w:pStyle w:val="af2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18">
    <w:p w:rsidR="002A7DA4" w:rsidRDefault="002A7DA4" w:rsidP="003F6809">
      <w:pPr>
        <w:pStyle w:val="af2"/>
        <w:jc w:val="both"/>
      </w:pPr>
      <w:r>
        <w:rPr>
          <w:rStyle w:val="af4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325"/>
    <w:multiLevelType w:val="hybridMultilevel"/>
    <w:tmpl w:val="9F48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2F00"/>
    <w:multiLevelType w:val="hybridMultilevel"/>
    <w:tmpl w:val="8B1E6F7A"/>
    <w:lvl w:ilvl="0" w:tplc="1366A960">
      <w:start w:val="1"/>
      <w:numFmt w:val="decimal"/>
      <w:lvlText w:val="%1."/>
      <w:lvlJc w:val="left"/>
      <w:pPr>
        <w:ind w:left="720" w:hanging="360"/>
      </w:pPr>
    </w:lvl>
    <w:lvl w:ilvl="1" w:tplc="6CD8292E">
      <w:start w:val="1"/>
      <w:numFmt w:val="lowerLetter"/>
      <w:lvlText w:val="%2."/>
      <w:lvlJc w:val="left"/>
      <w:pPr>
        <w:ind w:left="1440" w:hanging="360"/>
      </w:pPr>
    </w:lvl>
    <w:lvl w:ilvl="2" w:tplc="57A6E31E">
      <w:start w:val="1"/>
      <w:numFmt w:val="lowerRoman"/>
      <w:lvlText w:val="%3."/>
      <w:lvlJc w:val="right"/>
      <w:pPr>
        <w:ind w:left="2160" w:hanging="180"/>
      </w:pPr>
    </w:lvl>
    <w:lvl w:ilvl="3" w:tplc="7908C73C">
      <w:start w:val="1"/>
      <w:numFmt w:val="decimal"/>
      <w:lvlText w:val="%4."/>
      <w:lvlJc w:val="left"/>
      <w:pPr>
        <w:ind w:left="2880" w:hanging="360"/>
      </w:pPr>
    </w:lvl>
    <w:lvl w:ilvl="4" w:tplc="F6604340">
      <w:start w:val="1"/>
      <w:numFmt w:val="lowerLetter"/>
      <w:lvlText w:val="%5."/>
      <w:lvlJc w:val="left"/>
      <w:pPr>
        <w:ind w:left="3600" w:hanging="360"/>
      </w:pPr>
    </w:lvl>
    <w:lvl w:ilvl="5" w:tplc="412C83D4">
      <w:start w:val="1"/>
      <w:numFmt w:val="lowerRoman"/>
      <w:lvlText w:val="%6."/>
      <w:lvlJc w:val="right"/>
      <w:pPr>
        <w:ind w:left="4320" w:hanging="180"/>
      </w:pPr>
    </w:lvl>
    <w:lvl w:ilvl="6" w:tplc="C0DEBDDA">
      <w:start w:val="1"/>
      <w:numFmt w:val="decimal"/>
      <w:lvlText w:val="%7."/>
      <w:lvlJc w:val="left"/>
      <w:pPr>
        <w:ind w:left="5040" w:hanging="360"/>
      </w:pPr>
    </w:lvl>
    <w:lvl w:ilvl="7" w:tplc="C840E208">
      <w:start w:val="1"/>
      <w:numFmt w:val="lowerLetter"/>
      <w:lvlText w:val="%8."/>
      <w:lvlJc w:val="left"/>
      <w:pPr>
        <w:ind w:left="5760" w:hanging="360"/>
      </w:pPr>
    </w:lvl>
    <w:lvl w:ilvl="8" w:tplc="E4D419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018"/>
    <w:multiLevelType w:val="hybridMultilevel"/>
    <w:tmpl w:val="76D67FA6"/>
    <w:lvl w:ilvl="0" w:tplc="62FCC28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F902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2467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2EC3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326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9AC45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8AE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F65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34FC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9C0A49"/>
    <w:multiLevelType w:val="hybridMultilevel"/>
    <w:tmpl w:val="9BA232E8"/>
    <w:lvl w:ilvl="0" w:tplc="6DAE3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CFA6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EAA1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DC5A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1EE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6A09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4E6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2EC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3477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D16446"/>
    <w:multiLevelType w:val="multilevel"/>
    <w:tmpl w:val="B52E4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1841860"/>
    <w:multiLevelType w:val="hybridMultilevel"/>
    <w:tmpl w:val="A40E38A0"/>
    <w:lvl w:ilvl="0" w:tplc="C2302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A6B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9095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62FA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4C3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E8DE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3A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686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7613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BD15E5"/>
    <w:multiLevelType w:val="hybridMultilevel"/>
    <w:tmpl w:val="2E7A4384"/>
    <w:lvl w:ilvl="0" w:tplc="8ADA3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329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2ED4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AE3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62F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5085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7ACB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346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72D4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0F3"/>
    <w:rsid w:val="000062B2"/>
    <w:rsid w:val="0004187C"/>
    <w:rsid w:val="0008672C"/>
    <w:rsid w:val="000A5144"/>
    <w:rsid w:val="001010F3"/>
    <w:rsid w:val="00127721"/>
    <w:rsid w:val="0013445A"/>
    <w:rsid w:val="001E2957"/>
    <w:rsid w:val="001E643A"/>
    <w:rsid w:val="00290118"/>
    <w:rsid w:val="00290162"/>
    <w:rsid w:val="002901F9"/>
    <w:rsid w:val="002A5E01"/>
    <w:rsid w:val="002A7DA4"/>
    <w:rsid w:val="002E24AE"/>
    <w:rsid w:val="002E7AEB"/>
    <w:rsid w:val="00347E9B"/>
    <w:rsid w:val="003B26C2"/>
    <w:rsid w:val="003B7151"/>
    <w:rsid w:val="003B77FD"/>
    <w:rsid w:val="003F6809"/>
    <w:rsid w:val="00401B37"/>
    <w:rsid w:val="00445ED1"/>
    <w:rsid w:val="004B7D86"/>
    <w:rsid w:val="00545E2E"/>
    <w:rsid w:val="005563D4"/>
    <w:rsid w:val="00556A10"/>
    <w:rsid w:val="00556A48"/>
    <w:rsid w:val="006C4010"/>
    <w:rsid w:val="006F2ACE"/>
    <w:rsid w:val="007476B4"/>
    <w:rsid w:val="007E3186"/>
    <w:rsid w:val="00913F0A"/>
    <w:rsid w:val="009D16F8"/>
    <w:rsid w:val="00A56E71"/>
    <w:rsid w:val="00AB2C58"/>
    <w:rsid w:val="00AB4F34"/>
    <w:rsid w:val="00B057D4"/>
    <w:rsid w:val="00B05995"/>
    <w:rsid w:val="00B15E91"/>
    <w:rsid w:val="00B72C2D"/>
    <w:rsid w:val="00BC25F4"/>
    <w:rsid w:val="00BC40E4"/>
    <w:rsid w:val="00C46C61"/>
    <w:rsid w:val="00C57957"/>
    <w:rsid w:val="00CD0FE8"/>
    <w:rsid w:val="00CF28DB"/>
    <w:rsid w:val="00D351DE"/>
    <w:rsid w:val="00D46AAE"/>
    <w:rsid w:val="00D64415"/>
    <w:rsid w:val="00DB2F5C"/>
    <w:rsid w:val="00E75327"/>
    <w:rsid w:val="00F01162"/>
    <w:rsid w:val="00F03D62"/>
    <w:rsid w:val="00F179D0"/>
    <w:rsid w:val="00FB2AC3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954A"/>
  <w15:docId w15:val="{33C2BFF2-4AEE-409C-B161-EFB1CCD9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uiPriority w:val="99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styleId="aff">
    <w:name w:val="FollowedHyperlink"/>
    <w:rPr>
      <w:color w:val="800080"/>
      <w:u w:val="single"/>
    </w:rPr>
  </w:style>
  <w:style w:type="character" w:customStyle="1" w:styleId="af3">
    <w:name w:val="Текст сноски Знак"/>
    <w:basedOn w:val="a0"/>
    <w:link w:val="af2"/>
  </w:style>
  <w:style w:type="character" w:customStyle="1" w:styleId="ae">
    <w:name w:val="Нижний колонтитул Знак"/>
    <w:link w:val="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0391-36F9-4678-9003-476C9462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30uer_01</cp:lastModifiedBy>
  <cp:revision>156</cp:revision>
  <cp:lastPrinted>2023-07-11T04:38:00Z</cp:lastPrinted>
  <dcterms:created xsi:type="dcterms:W3CDTF">2021-09-23T03:52:00Z</dcterms:created>
  <dcterms:modified xsi:type="dcterms:W3CDTF">2023-07-11T04:38:00Z</dcterms:modified>
  <cp:version>1048576</cp:version>
</cp:coreProperties>
</file>