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384" w:rsidRDefault="0006356D">
      <w:pPr>
        <w:jc w:val="right"/>
        <w:rPr>
          <w:sz w:val="24"/>
          <w:szCs w:val="24"/>
        </w:rPr>
      </w:pPr>
      <w:r>
        <w:rPr>
          <w:color w:val="000000"/>
        </w:rPr>
        <w:t>ПРИЛОЖЕНИЕ № 2</w:t>
      </w:r>
    </w:p>
    <w:p w:rsidR="00BB5384" w:rsidRDefault="0006356D">
      <w:pPr>
        <w:jc w:val="right"/>
        <w:rPr>
          <w:sz w:val="24"/>
          <w:szCs w:val="24"/>
        </w:rPr>
      </w:pPr>
      <w:r>
        <w:rPr>
          <w:color w:val="000000"/>
        </w:rPr>
        <w:t>к письму Минэкономразвития НСО</w:t>
      </w:r>
    </w:p>
    <w:p w:rsidR="00BB5384" w:rsidRDefault="0006356D">
      <w:pPr>
        <w:tabs>
          <w:tab w:val="left" w:pos="-114"/>
          <w:tab w:val="left" w:pos="1080"/>
        </w:tabs>
        <w:jc w:val="right"/>
      </w:pPr>
      <w:r>
        <w:rPr>
          <w:color w:val="000000"/>
        </w:rPr>
        <w:t xml:space="preserve">от </w:t>
      </w:r>
      <w:r>
        <w:rPr>
          <w:color w:val="000000"/>
          <w:u w:val="single"/>
        </w:rPr>
        <w:t xml:space="preserve">______________ </w:t>
      </w:r>
      <w:r>
        <w:rPr>
          <w:color w:val="000000"/>
        </w:rPr>
        <w:t xml:space="preserve">№ </w:t>
      </w:r>
      <w:r>
        <w:rPr>
          <w:color w:val="000000"/>
          <w:u w:val="single"/>
        </w:rPr>
        <w:t>____________</w:t>
      </w:r>
    </w:p>
    <w:p w:rsidR="00BB5384" w:rsidRDefault="00BB5384">
      <w:pPr>
        <w:tabs>
          <w:tab w:val="left" w:pos="-114"/>
          <w:tab w:val="left" w:pos="1080"/>
        </w:tabs>
        <w:jc w:val="right"/>
      </w:pPr>
    </w:p>
    <w:p w:rsidR="00BB5384" w:rsidRDefault="00BB5384">
      <w:pPr>
        <w:tabs>
          <w:tab w:val="left" w:pos="-114"/>
          <w:tab w:val="left" w:pos="1080"/>
        </w:tabs>
        <w:jc w:val="right"/>
      </w:pPr>
      <w:bookmarkStart w:id="0" w:name="_GoBack"/>
      <w:bookmarkEnd w:id="0"/>
    </w:p>
    <w:p w:rsidR="00BB5384" w:rsidRDefault="00BB5384">
      <w:pPr>
        <w:tabs>
          <w:tab w:val="left" w:pos="-114"/>
          <w:tab w:val="left" w:pos="1080"/>
        </w:tabs>
        <w:jc w:val="right"/>
      </w:pPr>
    </w:p>
    <w:p w:rsidR="00BB5384" w:rsidRDefault="0006356D">
      <w:pPr>
        <w:tabs>
          <w:tab w:val="left" w:pos="-114"/>
          <w:tab w:val="left" w:pos="1080"/>
        </w:tabs>
        <w:jc w:val="center"/>
        <w:rPr>
          <w:b/>
          <w:bCs/>
          <w:i/>
        </w:rPr>
      </w:pPr>
      <w:r>
        <w:rPr>
          <w:b/>
          <w:i/>
        </w:rPr>
        <w:t xml:space="preserve">Информация о развитии института ОРВ/ОПОТ </w:t>
      </w:r>
    </w:p>
    <w:p w:rsidR="00BB5384" w:rsidRDefault="0006356D">
      <w:pPr>
        <w:tabs>
          <w:tab w:val="left" w:pos="-114"/>
          <w:tab w:val="left" w:pos="1080"/>
        </w:tabs>
        <w:jc w:val="center"/>
        <w:rPr>
          <w:b/>
          <w:bCs/>
          <w:i/>
        </w:rPr>
      </w:pPr>
      <w:r>
        <w:rPr>
          <w:b/>
          <w:i/>
        </w:rPr>
        <w:t xml:space="preserve">в </w:t>
      </w:r>
      <w:r w:rsidR="00FA08EC">
        <w:rPr>
          <w:i/>
          <w:u w:val="single"/>
        </w:rPr>
        <w:t>__Татарском муниципаль</w:t>
      </w:r>
      <w:r w:rsidR="00F70E2B">
        <w:rPr>
          <w:i/>
          <w:u w:val="single"/>
        </w:rPr>
        <w:t>ном округе</w:t>
      </w:r>
      <w:r w:rsidR="00FA08EC">
        <w:rPr>
          <w:i/>
          <w:u w:val="single"/>
        </w:rPr>
        <w:t xml:space="preserve"> Новосибирской области</w:t>
      </w:r>
      <w:r>
        <w:rPr>
          <w:i/>
          <w:u w:val="single"/>
        </w:rPr>
        <w:t>_</w:t>
      </w:r>
      <w:r>
        <w:rPr>
          <w:b/>
          <w:i/>
        </w:rPr>
        <w:t xml:space="preserve"> по состоянию на 31.12.2024</w:t>
      </w:r>
      <w:r>
        <w:rPr>
          <w:rStyle w:val="af4"/>
          <w:b/>
          <w:i/>
        </w:rPr>
        <w:footnoteReference w:id="1"/>
      </w:r>
    </w:p>
    <w:p w:rsidR="00BB5384" w:rsidRDefault="0006356D">
      <w:pPr>
        <w:tabs>
          <w:tab w:val="left" w:pos="-114"/>
          <w:tab w:val="left" w:pos="1080"/>
        </w:tabs>
        <w:rPr>
          <w:i/>
        </w:rPr>
      </w:pPr>
      <w:r>
        <w:rPr>
          <w:i/>
        </w:rPr>
        <w:t xml:space="preserve">                                                     </w:t>
      </w:r>
      <w:r>
        <w:rPr>
          <w:i/>
          <w:sz w:val="24"/>
          <w:szCs w:val="24"/>
        </w:rPr>
        <w:t xml:space="preserve">           </w:t>
      </w:r>
      <w:r>
        <w:rPr>
          <w:i/>
          <w:sz w:val="20"/>
          <w:szCs w:val="20"/>
        </w:rPr>
        <w:t>(наименование городского округа / муниципального района)</w:t>
      </w:r>
    </w:p>
    <w:p w:rsidR="00BB5384" w:rsidRDefault="00BB5384">
      <w:pPr>
        <w:tabs>
          <w:tab w:val="left" w:pos="-114"/>
          <w:tab w:val="left" w:pos="1080"/>
        </w:tabs>
        <w:jc w:val="right"/>
      </w:pPr>
    </w:p>
    <w:p w:rsidR="00BB5384" w:rsidRDefault="00BB5384">
      <w:pPr>
        <w:rPr>
          <w:vanish/>
        </w:rPr>
      </w:pP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96"/>
        <w:gridCol w:w="5505"/>
        <w:gridCol w:w="1834"/>
        <w:gridCol w:w="1541"/>
        <w:gridCol w:w="1818"/>
        <w:gridCol w:w="1957"/>
        <w:gridCol w:w="52"/>
        <w:gridCol w:w="2540"/>
      </w:tblGrid>
      <w:tr w:rsidR="00BB5384">
        <w:trPr>
          <w:tblHeader/>
        </w:trPr>
        <w:tc>
          <w:tcPr>
            <w:tcW w:w="597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</w:t>
            </w:r>
            <w:r>
              <w:rPr>
                <w:b/>
                <w:sz w:val="24"/>
                <w:szCs w:val="24"/>
                <w:lang w:val="en-US"/>
              </w:rPr>
              <w:t>/</w:t>
            </w:r>
            <w:r>
              <w:rPr>
                <w:b/>
                <w:sz w:val="24"/>
                <w:szCs w:val="24"/>
              </w:rPr>
              <w:t>п</w:t>
            </w:r>
          </w:p>
        </w:tc>
        <w:tc>
          <w:tcPr>
            <w:tcW w:w="5507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1830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Отметка о наличии (да/нет/</w:t>
            </w:r>
          </w:p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  <w:r>
              <w:rPr>
                <w:rStyle w:val="af4"/>
                <w:sz w:val="24"/>
                <w:szCs w:val="24"/>
              </w:rPr>
              <w:footnoteReference w:id="2"/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541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для исполнения (в случае отсутствия)</w:t>
            </w:r>
          </w:p>
        </w:tc>
        <w:tc>
          <w:tcPr>
            <w:tcW w:w="1818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Реквизиты</w:t>
            </w:r>
          </w:p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МНПА/</w:t>
            </w:r>
          </w:p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009" w:type="dxa"/>
            <w:gridSpan w:val="2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Ссылка на адрес в сети Интернет (адрес размещения)</w:t>
            </w:r>
          </w:p>
        </w:tc>
        <w:tc>
          <w:tcPr>
            <w:tcW w:w="2541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Примечания</w:t>
            </w:r>
          </w:p>
        </w:tc>
      </w:tr>
      <w:tr w:rsidR="00BB5384">
        <w:tc>
          <w:tcPr>
            <w:tcW w:w="597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1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18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009" w:type="dxa"/>
            <w:gridSpan w:val="2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41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BB5384">
        <w:tc>
          <w:tcPr>
            <w:tcW w:w="597" w:type="dxa"/>
            <w:vAlign w:val="center"/>
          </w:tcPr>
          <w:p w:rsidR="00BB5384" w:rsidRDefault="0006356D">
            <w:pPr>
              <w:pStyle w:val="afe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5507" w:type="dxa"/>
          </w:tcPr>
          <w:p w:rsidR="00BB5384" w:rsidRDefault="0006356D">
            <w:pPr>
              <w:pStyle w:val="afe"/>
              <w:spacing w:before="0" w:beforeAutospacing="0" w:after="0" w:afterAutospacing="0"/>
              <w:jc w:val="both"/>
            </w:pPr>
            <w:r>
              <w:t>Количество мероприятий, посвященных ОРВ и (или) экспертизе, информация о которых размещена в публичном доступе за период с 01.10.2024 по 31.12.2024</w:t>
            </w:r>
            <w:r>
              <w:rPr>
                <w:rStyle w:val="af4"/>
              </w:rPr>
              <w:footnoteReference w:id="3"/>
            </w:r>
          </w:p>
        </w:tc>
        <w:tc>
          <w:tcPr>
            <w:tcW w:w="1830" w:type="dxa"/>
          </w:tcPr>
          <w:p w:rsidR="00BB5384" w:rsidRDefault="00FA08EC" w:rsidP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c>
          <w:tcPr>
            <w:tcW w:w="597" w:type="dxa"/>
            <w:vMerge w:val="restart"/>
            <w:vAlign w:val="center"/>
          </w:tcPr>
          <w:p w:rsidR="00BB5384" w:rsidRDefault="0006356D">
            <w:pPr>
              <w:pStyle w:val="afe"/>
              <w:spacing w:before="0" w:after="0"/>
              <w:jc w:val="center"/>
            </w:pPr>
            <w:r>
              <w:t>2</w:t>
            </w:r>
          </w:p>
        </w:tc>
        <w:tc>
          <w:tcPr>
            <w:tcW w:w="15246" w:type="dxa"/>
            <w:gridSpan w:val="7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ОРВ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4"/>
            </w:r>
          </w:p>
        </w:tc>
      </w:tr>
      <w:tr w:rsidR="00BB5384">
        <w:tc>
          <w:tcPr>
            <w:tcW w:w="597" w:type="dxa"/>
            <w:vMerge/>
            <w:vAlign w:val="center"/>
          </w:tcPr>
          <w:p w:rsidR="00BB5384" w:rsidRDefault="00BB5384">
            <w:pPr>
              <w:pStyle w:val="afe"/>
              <w:spacing w:before="0" w:after="0"/>
              <w:jc w:val="center"/>
            </w:pP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01.10.2024 по 31.12.2024</w:t>
            </w:r>
          </w:p>
        </w:tc>
        <w:tc>
          <w:tcPr>
            <w:tcW w:w="1830" w:type="dxa"/>
          </w:tcPr>
          <w:p w:rsidR="00BB5384" w:rsidRDefault="00FA08EC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c>
          <w:tcPr>
            <w:tcW w:w="597" w:type="dxa"/>
            <w:vMerge w:val="restart"/>
            <w:vAlign w:val="center"/>
          </w:tcPr>
          <w:p w:rsidR="00BB5384" w:rsidRDefault="0006356D">
            <w:pPr>
              <w:pStyle w:val="afe"/>
              <w:spacing w:before="0" w:after="0"/>
              <w:jc w:val="center"/>
              <w:rPr>
                <w:rFonts w:eastAsia="+mn-ea"/>
                <w:color w:val="000000"/>
              </w:rPr>
            </w:pPr>
            <w:r>
              <w:rPr>
                <w:rFonts w:eastAsia="+mn-ea"/>
                <w:color w:val="000000"/>
              </w:rPr>
              <w:t>3</w:t>
            </w:r>
          </w:p>
        </w:tc>
        <w:tc>
          <w:tcPr>
            <w:tcW w:w="15246" w:type="dxa"/>
            <w:gridSpan w:val="7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отрицательных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ОРВ (ссылки на заключения)</w:t>
            </w:r>
            <w:r>
              <w:rPr>
                <w:rStyle w:val="af4"/>
                <w:b/>
                <w:sz w:val="24"/>
                <w:szCs w:val="24"/>
              </w:rPr>
              <w:footnoteReference w:id="5"/>
            </w:r>
          </w:p>
        </w:tc>
      </w:tr>
      <w:tr w:rsidR="00BB5384">
        <w:trPr>
          <w:trHeight w:val="437"/>
        </w:trPr>
        <w:tc>
          <w:tcPr>
            <w:tcW w:w="597" w:type="dxa"/>
            <w:vMerge/>
            <w:vAlign w:val="center"/>
          </w:tcPr>
          <w:p w:rsidR="00BB5384" w:rsidRDefault="00BB5384">
            <w:pPr>
              <w:pStyle w:val="afe"/>
              <w:spacing w:before="0" w:after="0"/>
              <w:jc w:val="center"/>
              <w:rPr>
                <w:rFonts w:eastAsia="+mn-ea"/>
                <w:color w:val="000000"/>
              </w:rPr>
            </w:pP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01.10.2024 по 31.12.2024</w:t>
            </w:r>
          </w:p>
        </w:tc>
        <w:tc>
          <w:tcPr>
            <w:tcW w:w="1830" w:type="dxa"/>
          </w:tcPr>
          <w:p w:rsidR="00BB5384" w:rsidRDefault="00FA08EC" w:rsidP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rPr>
          <w:trHeight w:val="1295"/>
        </w:trPr>
        <w:tc>
          <w:tcPr>
            <w:tcW w:w="597" w:type="dxa"/>
            <w:vMerge w:val="restart"/>
            <w:vAlign w:val="center"/>
          </w:tcPr>
          <w:p w:rsidR="00BB5384" w:rsidRDefault="0006356D">
            <w:pPr>
              <w:pStyle w:val="afe"/>
              <w:spacing w:before="0" w:after="0"/>
              <w:jc w:val="center"/>
            </w:pPr>
            <w:r>
              <w:t>4</w:t>
            </w: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4.1. Количество выявленных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</w:t>
            </w:r>
            <w:r>
              <w:rPr>
                <w:sz w:val="24"/>
                <w:szCs w:val="24"/>
              </w:rPr>
              <w:lastRenderedPageBreak/>
              <w:t>экономической деятельности и местных бюджетов (в отрицательных заключениях об ОРВ за период с 01.10.2024 по 31.12.2024)</w:t>
            </w:r>
          </w:p>
        </w:tc>
        <w:tc>
          <w:tcPr>
            <w:tcW w:w="1830" w:type="dxa"/>
          </w:tcPr>
          <w:p w:rsidR="00BB5384" w:rsidRDefault="00FA08EC" w:rsidP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41" w:type="dxa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BB5384">
        <w:trPr>
          <w:trHeight w:val="1295"/>
        </w:trPr>
        <w:tc>
          <w:tcPr>
            <w:tcW w:w="597" w:type="dxa"/>
            <w:vMerge w:val="restart"/>
            <w:vAlign w:val="center"/>
          </w:tcPr>
          <w:p w:rsidR="00BB5384" w:rsidRDefault="00BB5384">
            <w:pPr>
              <w:pStyle w:val="afe"/>
              <w:spacing w:before="0" w:after="0"/>
              <w:jc w:val="center"/>
            </w:pPr>
          </w:p>
        </w:tc>
        <w:tc>
          <w:tcPr>
            <w:tcW w:w="5507" w:type="dxa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 Количество положений,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из числа указанных в пункте 4.1, устранённых разработчиком за период с 01.10.2024 по 31.12.2024 </w:t>
            </w:r>
            <w:r>
              <w:rPr>
                <w:i/>
                <w:sz w:val="24"/>
                <w:szCs w:val="24"/>
              </w:rPr>
              <w:t>(в том числе по проектам МНПА, прошедшим ОРВ в 2023 году)</w:t>
            </w:r>
            <w:r>
              <w:rPr>
                <w:rStyle w:val="af4"/>
                <w:sz w:val="24"/>
                <w:szCs w:val="24"/>
              </w:rPr>
              <w:footnoteReference w:id="6"/>
            </w:r>
          </w:p>
        </w:tc>
        <w:tc>
          <w:tcPr>
            <w:tcW w:w="1830" w:type="dxa"/>
            <w:vMerge w:val="restart"/>
          </w:tcPr>
          <w:p w:rsidR="00BB5384" w:rsidRDefault="00FA08E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2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BB5384">
        <w:trPr>
          <w:trHeight w:val="811"/>
        </w:trPr>
        <w:tc>
          <w:tcPr>
            <w:tcW w:w="597" w:type="dxa"/>
            <w:vMerge w:val="restart"/>
            <w:vAlign w:val="center"/>
          </w:tcPr>
          <w:p w:rsidR="00BB5384" w:rsidRDefault="0006356D">
            <w:pPr>
              <w:pStyle w:val="afe"/>
              <w:spacing w:before="0" w:after="0"/>
              <w:jc w:val="center"/>
            </w:pPr>
            <w:r>
              <w:t>5</w:t>
            </w:r>
          </w:p>
        </w:tc>
        <w:tc>
          <w:tcPr>
            <w:tcW w:w="5507" w:type="dxa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плана проведения экспертизы МНПА на 2024 год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необходимо указать реквизиты МНПА, включенных в план</w:t>
            </w:r>
          </w:p>
        </w:tc>
        <w:tc>
          <w:tcPr>
            <w:tcW w:w="1830" w:type="dxa"/>
            <w:vMerge w:val="restart"/>
          </w:tcPr>
          <w:p w:rsidR="00BB5384" w:rsidRDefault="00FA08E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41" w:type="dxa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</w:tcPr>
          <w:p w:rsidR="00BB5384" w:rsidRDefault="00FA08EC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 от 18.12.2023 №511</w:t>
            </w:r>
          </w:p>
        </w:tc>
        <w:tc>
          <w:tcPr>
            <w:tcW w:w="2009" w:type="dxa"/>
            <w:gridSpan w:val="2"/>
            <w:vMerge w:val="restart"/>
          </w:tcPr>
          <w:p w:rsidR="00BB5384" w:rsidRDefault="00EC272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8" w:history="1">
              <w:r w:rsidR="00FA08EC" w:rsidRPr="00C970E0">
                <w:rPr>
                  <w:rStyle w:val="af1"/>
                  <w:sz w:val="24"/>
                  <w:szCs w:val="24"/>
                </w:rPr>
                <w:t>https://regiontatarsk.nso.ru/page/2034</w:t>
              </w:r>
            </w:hyperlink>
          </w:p>
        </w:tc>
        <w:tc>
          <w:tcPr>
            <w:tcW w:w="2541" w:type="dxa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BB5384">
        <w:tc>
          <w:tcPr>
            <w:tcW w:w="597" w:type="dxa"/>
            <w:vMerge w:val="restart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246" w:type="dxa"/>
            <w:gridSpan w:val="7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положительных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экспертизе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7"/>
            </w:r>
          </w:p>
        </w:tc>
      </w:tr>
      <w:tr w:rsidR="00BB5384">
        <w:tc>
          <w:tcPr>
            <w:tcW w:w="597" w:type="dxa"/>
            <w:vMerge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01.10.2024 по 31.12.2024</w:t>
            </w:r>
          </w:p>
        </w:tc>
        <w:tc>
          <w:tcPr>
            <w:tcW w:w="1830" w:type="dxa"/>
          </w:tcPr>
          <w:p w:rsidR="00BB5384" w:rsidRDefault="00BE3957" w:rsidP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№5 от 31.10.2024</w:t>
            </w:r>
          </w:p>
          <w:p w:rsidR="00BE3957" w:rsidRDefault="00BE3957" w:rsidP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Заключение №6 от 20.12.2024</w:t>
            </w:r>
          </w:p>
          <w:p w:rsidR="00BE3957" w:rsidRDefault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BE3957" w:rsidRDefault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  <w:p w:rsidR="00BB5384" w:rsidRDefault="00EC272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9" w:history="1">
              <w:r w:rsidR="00BE3957" w:rsidRPr="00C970E0">
                <w:rPr>
                  <w:rStyle w:val="af1"/>
                  <w:sz w:val="24"/>
                  <w:szCs w:val="24"/>
                </w:rPr>
                <w:t>https://regiontatarsk.nso.ru/page/14357</w:t>
              </w:r>
            </w:hyperlink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c>
          <w:tcPr>
            <w:tcW w:w="597" w:type="dxa"/>
            <w:vMerge w:val="restart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5246" w:type="dxa"/>
            <w:gridSpan w:val="7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>
              <w:rPr>
                <w:b/>
                <w:sz w:val="24"/>
                <w:szCs w:val="24"/>
              </w:rPr>
              <w:t>отрицательных</w:t>
            </w:r>
            <w:r>
              <w:rPr>
                <w:sz w:val="24"/>
                <w:szCs w:val="24"/>
              </w:rPr>
              <w:t xml:space="preserve"> заключений об </w:t>
            </w:r>
            <w:r>
              <w:rPr>
                <w:b/>
                <w:sz w:val="24"/>
                <w:szCs w:val="24"/>
              </w:rPr>
              <w:t>экспертизе (ссылки на заключения)</w:t>
            </w:r>
            <w:r>
              <w:rPr>
                <w:rStyle w:val="af4"/>
                <w:sz w:val="24"/>
                <w:szCs w:val="24"/>
              </w:rPr>
              <w:footnoteReference w:id="8"/>
            </w:r>
          </w:p>
        </w:tc>
      </w:tr>
      <w:tr w:rsidR="00BB5384">
        <w:trPr>
          <w:trHeight w:val="146"/>
        </w:trPr>
        <w:tc>
          <w:tcPr>
            <w:tcW w:w="597" w:type="dxa"/>
            <w:vMerge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01.10.2024 по 31.12.2024</w:t>
            </w:r>
          </w:p>
        </w:tc>
        <w:tc>
          <w:tcPr>
            <w:tcW w:w="1830" w:type="dxa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41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9" w:type="dxa"/>
            <w:gridSpan w:val="2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rPr>
          <w:trHeight w:val="141"/>
        </w:trPr>
        <w:tc>
          <w:tcPr>
            <w:tcW w:w="597" w:type="dxa"/>
            <w:vMerge w:val="restart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8.1. Количество выявленных положений, необоснованно затрудняющих осуществление предпринимательской и инвестиционной деятельности (в отрицательных заключениях об экспертизе за период с 01.10.2024 по 31.12.2024)</w:t>
            </w:r>
          </w:p>
        </w:tc>
        <w:tc>
          <w:tcPr>
            <w:tcW w:w="1830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009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</w:tr>
      <w:tr w:rsidR="00BB5384">
        <w:trPr>
          <w:trHeight w:val="150"/>
        </w:trPr>
        <w:tc>
          <w:tcPr>
            <w:tcW w:w="597" w:type="dxa"/>
            <w:vMerge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0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8.2. Количество положений,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из числа указанных в пункте 7.1, устранённых разработчиком за период с </w:t>
            </w:r>
            <w:r>
              <w:rPr>
                <w:sz w:val="24"/>
                <w:szCs w:val="24"/>
              </w:rPr>
              <w:lastRenderedPageBreak/>
              <w:t xml:space="preserve">01.10.2024 по 31.12.2024 </w:t>
            </w:r>
            <w:r>
              <w:rPr>
                <w:i/>
                <w:sz w:val="24"/>
                <w:szCs w:val="24"/>
              </w:rPr>
              <w:t>(в том числе по МНПА, прошедшим экспертизу в 2023 года)</w:t>
            </w:r>
            <w:r>
              <w:rPr>
                <w:rStyle w:val="af4"/>
                <w:sz w:val="24"/>
                <w:szCs w:val="24"/>
              </w:rPr>
              <w:footnoteReference w:id="9"/>
            </w:r>
          </w:p>
        </w:tc>
        <w:tc>
          <w:tcPr>
            <w:tcW w:w="1830" w:type="dxa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41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09" w:type="dxa"/>
            <w:gridSpan w:val="2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rPr>
          <w:trHeight w:val="96"/>
        </w:trPr>
        <w:tc>
          <w:tcPr>
            <w:tcW w:w="597" w:type="dxa"/>
            <w:vMerge w:val="restart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246" w:type="dxa"/>
            <w:gridSpan w:val="7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 участников публичных консультаций по ОРВ и экспертизе</w:t>
            </w:r>
            <w:r>
              <w:rPr>
                <w:rStyle w:val="af4"/>
                <w:sz w:val="24"/>
                <w:szCs w:val="24"/>
              </w:rPr>
              <w:footnoteReference w:id="10"/>
            </w:r>
          </w:p>
        </w:tc>
      </w:tr>
      <w:tr w:rsidR="00BB5384">
        <w:trPr>
          <w:trHeight w:val="96"/>
        </w:trPr>
        <w:tc>
          <w:tcPr>
            <w:tcW w:w="597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506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01.10.2024 по 31.12.2024</w:t>
            </w:r>
          </w:p>
        </w:tc>
        <w:tc>
          <w:tcPr>
            <w:tcW w:w="1834" w:type="dxa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18" w:type="dxa"/>
            <w:vAlign w:val="center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57" w:type="dxa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2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rPr>
          <w:trHeight w:val="276"/>
        </w:trPr>
        <w:tc>
          <w:tcPr>
            <w:tcW w:w="597" w:type="dxa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506" w:type="dxa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утвержденного плана оценки применения обязательных требований на 2024 год</w:t>
            </w:r>
          </w:p>
        </w:tc>
        <w:tc>
          <w:tcPr>
            <w:tcW w:w="1834" w:type="dxa"/>
            <w:vMerge w:val="restart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  <w:tc>
          <w:tcPr>
            <w:tcW w:w="1538" w:type="dxa"/>
            <w:vMerge w:val="restart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от 07.06.2024 №304</w:t>
            </w:r>
          </w:p>
        </w:tc>
        <w:tc>
          <w:tcPr>
            <w:tcW w:w="1957" w:type="dxa"/>
            <w:vMerge w:val="restart"/>
            <w:vAlign w:val="center"/>
          </w:tcPr>
          <w:p w:rsidR="00BB5384" w:rsidRDefault="00EC272E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hyperlink r:id="rId10" w:history="1">
              <w:r w:rsidR="00BE3957" w:rsidRPr="00C970E0">
                <w:rPr>
                  <w:rStyle w:val="af1"/>
                  <w:sz w:val="24"/>
                  <w:szCs w:val="24"/>
                </w:rPr>
                <w:t>https://regiontatarsk.nso.ru/page/15398</w:t>
              </w:r>
            </w:hyperlink>
          </w:p>
        </w:tc>
        <w:tc>
          <w:tcPr>
            <w:tcW w:w="2591" w:type="dxa"/>
            <w:gridSpan w:val="2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rPr>
          <w:trHeight w:val="426"/>
        </w:trPr>
        <w:tc>
          <w:tcPr>
            <w:tcW w:w="597" w:type="dxa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243" w:type="dxa"/>
            <w:gridSpan w:val="7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заключений об </w:t>
            </w:r>
            <w:r>
              <w:rPr>
                <w:b/>
                <w:sz w:val="24"/>
                <w:szCs w:val="24"/>
              </w:rPr>
              <w:t>ОПОТ (ссылки на заключения)</w:t>
            </w:r>
          </w:p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  <w:tr w:rsidR="00BB5384">
        <w:trPr>
          <w:trHeight w:val="276"/>
        </w:trPr>
        <w:tc>
          <w:tcPr>
            <w:tcW w:w="597" w:type="dxa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506" w:type="dxa"/>
            <w:vMerge w:val="restart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 период с </w:t>
            </w:r>
            <w:r>
              <w:rPr>
                <w:b/>
                <w:bCs/>
                <w:sz w:val="24"/>
                <w:szCs w:val="24"/>
              </w:rPr>
              <w:t>01.01.2024 по 31.12.2024</w:t>
            </w:r>
          </w:p>
        </w:tc>
        <w:tc>
          <w:tcPr>
            <w:tcW w:w="1834" w:type="dxa"/>
            <w:vMerge w:val="restart"/>
          </w:tcPr>
          <w:p w:rsidR="00BB5384" w:rsidRDefault="00BE3957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8" w:type="dxa"/>
            <w:vMerge w:val="restart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57" w:type="dxa"/>
            <w:vMerge w:val="restart"/>
            <w:vAlign w:val="center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91" w:type="dxa"/>
            <w:gridSpan w:val="2"/>
            <w:vMerge w:val="restart"/>
          </w:tcPr>
          <w:p w:rsidR="00BB5384" w:rsidRDefault="00BB5384">
            <w:pPr>
              <w:tabs>
                <w:tab w:val="left" w:pos="-114"/>
                <w:tab w:val="left" w:pos="1080"/>
              </w:tabs>
              <w:jc w:val="both"/>
              <w:rPr>
                <w:sz w:val="24"/>
                <w:szCs w:val="24"/>
              </w:rPr>
            </w:pPr>
          </w:p>
        </w:tc>
      </w:tr>
    </w:tbl>
    <w:p w:rsidR="00BB5384" w:rsidRDefault="00BB5384"/>
    <w:p w:rsidR="00BB5384" w:rsidRDefault="00BB5384"/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7938"/>
      </w:tblGrid>
      <w:tr w:rsidR="00BB5384">
        <w:tc>
          <w:tcPr>
            <w:tcW w:w="7905" w:type="dxa"/>
            <w:shd w:val="clear" w:color="auto" w:fill="FFFFFF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Специалист(ы) ОМСУ, ответственный(е) за</w:t>
            </w:r>
          </w:p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</w:pPr>
            <w:r>
              <w:rPr>
                <w:b/>
                <w:sz w:val="24"/>
                <w:szCs w:val="24"/>
              </w:rPr>
              <w:t xml:space="preserve">проведение ОРВ, экспертизы в МО НСО, а также </w:t>
            </w:r>
          </w:p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 работу в ГИС «Электронная демократия Новосибирской области»</w:t>
            </w:r>
          </w:p>
        </w:tc>
        <w:tc>
          <w:tcPr>
            <w:tcW w:w="7938" w:type="dxa"/>
          </w:tcPr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Специалист(ы) ОМСУ, ответственный(е) за</w:t>
            </w:r>
          </w:p>
          <w:p w:rsidR="00BB5384" w:rsidRDefault="0006356D">
            <w:pPr>
              <w:tabs>
                <w:tab w:val="left" w:pos="-114"/>
                <w:tab w:val="left" w:pos="10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оценки применения обязательных требований в МО НСО</w:t>
            </w:r>
          </w:p>
        </w:tc>
      </w:tr>
      <w:tr w:rsidR="00C970E0" w:rsidTr="003E29B2">
        <w:tc>
          <w:tcPr>
            <w:tcW w:w="7905" w:type="dxa"/>
            <w:shd w:val="clear" w:color="auto" w:fill="FFFFFF"/>
          </w:tcPr>
          <w:p w:rsidR="00C970E0" w:rsidRDefault="00C970E0" w:rsidP="00C970E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Корнеева Анна Николаевна</w:t>
            </w:r>
          </w:p>
        </w:tc>
        <w:tc>
          <w:tcPr>
            <w:tcW w:w="7938" w:type="dxa"/>
            <w:shd w:val="clear" w:color="auto" w:fill="FFFFFF"/>
          </w:tcPr>
          <w:p w:rsidR="00C970E0" w:rsidRDefault="00C970E0" w:rsidP="00C970E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Корнеева Анна Николаевна</w:t>
            </w:r>
          </w:p>
        </w:tc>
      </w:tr>
      <w:tr w:rsidR="00C970E0" w:rsidTr="003E29B2">
        <w:tc>
          <w:tcPr>
            <w:tcW w:w="7905" w:type="dxa"/>
            <w:shd w:val="clear" w:color="auto" w:fill="FFFFFF"/>
          </w:tcPr>
          <w:p w:rsidR="00C970E0" w:rsidRDefault="00C970E0" w:rsidP="00C970E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специалист управления экономического развития, инвестиций и трудовых отношений администрации Татарского муниципального округа Новосибирской области</w:t>
            </w:r>
          </w:p>
        </w:tc>
        <w:tc>
          <w:tcPr>
            <w:tcW w:w="7938" w:type="dxa"/>
            <w:shd w:val="clear" w:color="auto" w:fill="FFFFFF"/>
          </w:tcPr>
          <w:p w:rsidR="00C970E0" w:rsidRDefault="00C970E0" w:rsidP="00C970E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Главный специалист управления экономического развития, инвестиций и трудовых отношений администрации Татарского муниципального округа Новосибирской области</w:t>
            </w:r>
          </w:p>
        </w:tc>
      </w:tr>
      <w:tr w:rsidR="00C970E0" w:rsidTr="003E29B2">
        <w:tc>
          <w:tcPr>
            <w:tcW w:w="7905" w:type="dxa"/>
            <w:tcBorders>
              <w:bottom w:val="single" w:sz="4" w:space="0" w:color="000000"/>
            </w:tcBorders>
            <w:shd w:val="clear" w:color="auto" w:fill="FFFFFF"/>
          </w:tcPr>
          <w:p w:rsidR="00C970E0" w:rsidRPr="00C970E0" w:rsidRDefault="00C970E0" w:rsidP="00C970E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Контактный телефон  8383(64)22085, </w:t>
            </w:r>
            <w:r>
              <w:rPr>
                <w:i/>
                <w:sz w:val="24"/>
                <w:szCs w:val="24"/>
                <w:lang w:val="en-US"/>
              </w:rPr>
              <w:t>e</w:t>
            </w:r>
            <w:r w:rsidRPr="00C970E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  <w:lang w:val="en-US"/>
              </w:rPr>
              <w:t>mail</w:t>
            </w:r>
            <w:r>
              <w:rPr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adm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uer</w:t>
            </w:r>
            <w:proofErr w:type="spellEnd"/>
            <w:r w:rsidRPr="00C970E0">
              <w:rPr>
                <w:i/>
                <w:sz w:val="24"/>
                <w:szCs w:val="24"/>
              </w:rPr>
              <w:t>@</w:t>
            </w:r>
            <w:r>
              <w:rPr>
                <w:i/>
                <w:sz w:val="24"/>
                <w:szCs w:val="24"/>
                <w:lang w:val="en-US"/>
              </w:rPr>
              <w:t>mail</w:t>
            </w:r>
            <w:r w:rsidRPr="00C970E0">
              <w:rPr>
                <w:i/>
                <w:sz w:val="24"/>
                <w:szCs w:val="24"/>
              </w:rPr>
              <w:t>.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7938" w:type="dxa"/>
            <w:tcBorders>
              <w:bottom w:val="single" w:sz="4" w:space="0" w:color="000000"/>
            </w:tcBorders>
            <w:shd w:val="clear" w:color="auto" w:fill="FFFFFF"/>
          </w:tcPr>
          <w:p w:rsidR="00C970E0" w:rsidRPr="00C970E0" w:rsidRDefault="00C970E0" w:rsidP="00C970E0">
            <w:pPr>
              <w:tabs>
                <w:tab w:val="left" w:pos="-114"/>
                <w:tab w:val="left" w:pos="1080"/>
              </w:tabs>
              <w:rPr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Контактный телефон  8383(64)22085, </w:t>
            </w:r>
            <w:r>
              <w:rPr>
                <w:i/>
                <w:sz w:val="24"/>
                <w:szCs w:val="24"/>
                <w:lang w:val="en-US"/>
              </w:rPr>
              <w:t>e</w:t>
            </w:r>
            <w:r w:rsidRPr="00C970E0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  <w:lang w:val="en-US"/>
              </w:rPr>
              <w:t>mail</w:t>
            </w:r>
            <w:r>
              <w:rPr>
                <w:i/>
                <w:sz w:val="24"/>
                <w:szCs w:val="24"/>
              </w:rPr>
              <w:t xml:space="preserve">: 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adm</w:t>
            </w:r>
            <w:proofErr w:type="spellEnd"/>
            <w:r>
              <w:rPr>
                <w:i/>
                <w:sz w:val="24"/>
                <w:szCs w:val="24"/>
              </w:rPr>
              <w:t>.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uer</w:t>
            </w:r>
            <w:proofErr w:type="spellEnd"/>
            <w:r w:rsidRPr="00C970E0">
              <w:rPr>
                <w:i/>
                <w:sz w:val="24"/>
                <w:szCs w:val="24"/>
              </w:rPr>
              <w:t>@</w:t>
            </w:r>
            <w:r>
              <w:rPr>
                <w:i/>
                <w:sz w:val="24"/>
                <w:szCs w:val="24"/>
                <w:lang w:val="en-US"/>
              </w:rPr>
              <w:t>mail</w:t>
            </w:r>
            <w:r w:rsidRPr="00C970E0">
              <w:rPr>
                <w:i/>
                <w:sz w:val="24"/>
                <w:szCs w:val="24"/>
              </w:rPr>
              <w:t>.</w:t>
            </w:r>
            <w:proofErr w:type="spellStart"/>
            <w:r>
              <w:rPr>
                <w:i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BB5384" w:rsidRDefault="00BB5384"/>
    <w:sectPr w:rsidR="00BB5384">
      <w:type w:val="continuous"/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2E" w:rsidRDefault="00EC272E">
      <w:r>
        <w:separator/>
      </w:r>
    </w:p>
  </w:endnote>
  <w:endnote w:type="continuationSeparator" w:id="0">
    <w:p w:rsidR="00EC272E" w:rsidRDefault="00EC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2E" w:rsidRDefault="00EC272E">
      <w:r>
        <w:separator/>
      </w:r>
    </w:p>
  </w:footnote>
  <w:footnote w:type="continuationSeparator" w:id="0">
    <w:p w:rsidR="00EC272E" w:rsidRDefault="00EC272E">
      <w:r>
        <w:continuationSeparator/>
      </w:r>
    </w:p>
  </w:footnote>
  <w:footnote w:id="1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Информация предоставляется без учета муниципальных образований, входящих в состав муниципального района.</w:t>
      </w:r>
    </w:p>
  </w:footnote>
  <w:footnote w:id="2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В случае отсутствия указывается 0.</w:t>
      </w:r>
    </w:p>
  </w:footnote>
  <w:footnote w:id="3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 xml:space="preserve">Указывается количество публичных мероприятий </w:t>
      </w:r>
      <w:r>
        <w:rPr>
          <w:i/>
        </w:rPr>
        <w:t>(совещания, круглые столы и др.)</w:t>
      </w:r>
      <w:r>
        <w:t>, посвященные ОРВ, экспертизе, оценке применения обязательных требований.</w:t>
      </w:r>
    </w:p>
  </w:footnote>
  <w:footnote w:id="4">
    <w:p w:rsidR="00BB5384" w:rsidRDefault="0006356D">
      <w:pPr>
        <w:pStyle w:val="af2"/>
        <w:jc w:val="both"/>
      </w:pPr>
      <w:r>
        <w:rPr>
          <w:vertAlign w:val="superscript"/>
        </w:rPr>
        <w:footnoteRef/>
      </w:r>
      <w:r>
        <w:t>Заключение, в результате подготовки которого не выявлены положения (положение), вводящие(ее)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и местных бюджетов.</w:t>
      </w:r>
    </w:p>
    <w:p w:rsidR="00BB5384" w:rsidRDefault="00BB5384">
      <w:pPr>
        <w:pStyle w:val="af2"/>
        <w:jc w:val="both"/>
        <w:rPr>
          <w:sz w:val="2"/>
          <w:szCs w:val="2"/>
        </w:rPr>
      </w:pPr>
    </w:p>
  </w:footnote>
  <w:footnote w:id="5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выявлены положения (положение), указанные в сноске № 4.</w:t>
      </w:r>
    </w:p>
  </w:footnote>
  <w:footnote w:id="6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В соответствующей ячейке таблицы указываются реквизиты МНПА, принятых с учётом отрицательных заключений об ОРВ.</w:t>
      </w:r>
    </w:p>
  </w:footnote>
  <w:footnote w:id="7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не выявлены положения (положение), необоснованно затрудняющие(ее) осуществление предпринимательской и иной экономической деятельности.</w:t>
      </w:r>
    </w:p>
  </w:footnote>
  <w:footnote w:id="8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Заключение, в результате подготовки которого выявлены положения (положение), указанные в сноске № 7.</w:t>
      </w:r>
    </w:p>
  </w:footnote>
  <w:footnote w:id="9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>В соответствующей ячейке таблицы указываются реквизиты МНПА, принятых с учётом отрицательных заключений об экспертизе.</w:t>
      </w:r>
    </w:p>
  </w:footnote>
  <w:footnote w:id="10">
    <w:p w:rsidR="00BB5384" w:rsidRDefault="0006356D">
      <w:pPr>
        <w:pStyle w:val="af2"/>
        <w:jc w:val="both"/>
      </w:pPr>
      <w:r>
        <w:rPr>
          <w:rStyle w:val="af4"/>
        </w:rPr>
        <w:footnoteRef/>
      </w:r>
      <w:r>
        <w:t xml:space="preserve">Указывается количество участников публичных консультаций, от которых разработчику поступили отзывы на МНПА (проект МНПА) (замечания, предложения, либо информация об их отсутствии).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70A7"/>
    <w:multiLevelType w:val="hybridMultilevel"/>
    <w:tmpl w:val="08AAA67E"/>
    <w:lvl w:ilvl="0" w:tplc="B764F9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2C45E0">
      <w:start w:val="1"/>
      <w:numFmt w:val="lowerLetter"/>
      <w:lvlText w:val="%2."/>
      <w:lvlJc w:val="left"/>
      <w:pPr>
        <w:ind w:left="1440" w:hanging="360"/>
      </w:pPr>
    </w:lvl>
    <w:lvl w:ilvl="2" w:tplc="18E0A60C">
      <w:start w:val="1"/>
      <w:numFmt w:val="lowerRoman"/>
      <w:lvlText w:val="%3."/>
      <w:lvlJc w:val="right"/>
      <w:pPr>
        <w:ind w:left="2160" w:hanging="180"/>
      </w:pPr>
    </w:lvl>
    <w:lvl w:ilvl="3" w:tplc="B93A9A26">
      <w:start w:val="1"/>
      <w:numFmt w:val="decimal"/>
      <w:lvlText w:val="%4."/>
      <w:lvlJc w:val="left"/>
      <w:pPr>
        <w:ind w:left="2880" w:hanging="360"/>
      </w:pPr>
    </w:lvl>
    <w:lvl w:ilvl="4" w:tplc="216218D2">
      <w:start w:val="1"/>
      <w:numFmt w:val="lowerLetter"/>
      <w:lvlText w:val="%5."/>
      <w:lvlJc w:val="left"/>
      <w:pPr>
        <w:ind w:left="3600" w:hanging="360"/>
      </w:pPr>
    </w:lvl>
    <w:lvl w:ilvl="5" w:tplc="A104BBBE">
      <w:start w:val="1"/>
      <w:numFmt w:val="lowerRoman"/>
      <w:lvlText w:val="%6."/>
      <w:lvlJc w:val="right"/>
      <w:pPr>
        <w:ind w:left="4320" w:hanging="180"/>
      </w:pPr>
    </w:lvl>
    <w:lvl w:ilvl="6" w:tplc="10A4C398">
      <w:start w:val="1"/>
      <w:numFmt w:val="decimal"/>
      <w:lvlText w:val="%7."/>
      <w:lvlJc w:val="left"/>
      <w:pPr>
        <w:ind w:left="5040" w:hanging="360"/>
      </w:pPr>
    </w:lvl>
    <w:lvl w:ilvl="7" w:tplc="2362C2A0">
      <w:start w:val="1"/>
      <w:numFmt w:val="lowerLetter"/>
      <w:lvlText w:val="%8."/>
      <w:lvlJc w:val="left"/>
      <w:pPr>
        <w:ind w:left="5760" w:hanging="360"/>
      </w:pPr>
    </w:lvl>
    <w:lvl w:ilvl="8" w:tplc="187A5EC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7631"/>
    <w:multiLevelType w:val="hybridMultilevel"/>
    <w:tmpl w:val="FA0C4D0C"/>
    <w:lvl w:ilvl="0" w:tplc="3C526BD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34BC86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510F54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A9A80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9A15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92AB85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AC880E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29A32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A90374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8092E47"/>
    <w:multiLevelType w:val="hybridMultilevel"/>
    <w:tmpl w:val="2CC84F26"/>
    <w:lvl w:ilvl="0" w:tplc="F6AE2C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904B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CEC34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02ED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B4E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0E22DA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8E22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7DE6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E26325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EB801AB"/>
    <w:multiLevelType w:val="hybridMultilevel"/>
    <w:tmpl w:val="3272A7B4"/>
    <w:lvl w:ilvl="0" w:tplc="22B022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A450FC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3C01AF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79EAE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1A653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E76C69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A4C6B7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15688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8DE772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822BBE"/>
    <w:multiLevelType w:val="multilevel"/>
    <w:tmpl w:val="3044EA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23B22B9"/>
    <w:multiLevelType w:val="hybridMultilevel"/>
    <w:tmpl w:val="AF6A05FC"/>
    <w:lvl w:ilvl="0" w:tplc="CDFCB3C6">
      <w:start w:val="1"/>
      <w:numFmt w:val="decimal"/>
      <w:lvlText w:val="%1."/>
      <w:lvlJc w:val="left"/>
      <w:pPr>
        <w:ind w:left="720" w:hanging="360"/>
      </w:pPr>
    </w:lvl>
    <w:lvl w:ilvl="1" w:tplc="2DE883D0">
      <w:start w:val="1"/>
      <w:numFmt w:val="lowerLetter"/>
      <w:lvlText w:val="%2."/>
      <w:lvlJc w:val="left"/>
      <w:pPr>
        <w:ind w:left="1440" w:hanging="360"/>
      </w:pPr>
    </w:lvl>
    <w:lvl w:ilvl="2" w:tplc="5A5E5BD6">
      <w:start w:val="1"/>
      <w:numFmt w:val="lowerRoman"/>
      <w:lvlText w:val="%3."/>
      <w:lvlJc w:val="right"/>
      <w:pPr>
        <w:ind w:left="2160" w:hanging="180"/>
      </w:pPr>
    </w:lvl>
    <w:lvl w:ilvl="3" w:tplc="AA16940E">
      <w:start w:val="1"/>
      <w:numFmt w:val="decimal"/>
      <w:lvlText w:val="%4."/>
      <w:lvlJc w:val="left"/>
      <w:pPr>
        <w:ind w:left="2880" w:hanging="360"/>
      </w:pPr>
    </w:lvl>
    <w:lvl w:ilvl="4" w:tplc="5CC0BFC2">
      <w:start w:val="1"/>
      <w:numFmt w:val="lowerLetter"/>
      <w:lvlText w:val="%5."/>
      <w:lvlJc w:val="left"/>
      <w:pPr>
        <w:ind w:left="3600" w:hanging="360"/>
      </w:pPr>
    </w:lvl>
    <w:lvl w:ilvl="5" w:tplc="FB3CCFF4">
      <w:start w:val="1"/>
      <w:numFmt w:val="lowerRoman"/>
      <w:lvlText w:val="%6."/>
      <w:lvlJc w:val="right"/>
      <w:pPr>
        <w:ind w:left="4320" w:hanging="180"/>
      </w:pPr>
    </w:lvl>
    <w:lvl w:ilvl="6" w:tplc="493E4B22">
      <w:start w:val="1"/>
      <w:numFmt w:val="decimal"/>
      <w:lvlText w:val="%7."/>
      <w:lvlJc w:val="left"/>
      <w:pPr>
        <w:ind w:left="5040" w:hanging="360"/>
      </w:pPr>
    </w:lvl>
    <w:lvl w:ilvl="7" w:tplc="DF9A96A8">
      <w:start w:val="1"/>
      <w:numFmt w:val="lowerLetter"/>
      <w:lvlText w:val="%8."/>
      <w:lvlJc w:val="left"/>
      <w:pPr>
        <w:ind w:left="5760" w:hanging="360"/>
      </w:pPr>
    </w:lvl>
    <w:lvl w:ilvl="8" w:tplc="1068B68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DF2800"/>
    <w:multiLevelType w:val="hybridMultilevel"/>
    <w:tmpl w:val="79F8A8B4"/>
    <w:lvl w:ilvl="0" w:tplc="8BFA99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CA6AF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08649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D386F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31660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BE46E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D08DF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0DA66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122DB9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84"/>
    <w:rsid w:val="0006356D"/>
    <w:rsid w:val="003516A8"/>
    <w:rsid w:val="007670E3"/>
    <w:rsid w:val="00BB5384"/>
    <w:rsid w:val="00BE3957"/>
    <w:rsid w:val="00C970E0"/>
    <w:rsid w:val="00EC272E"/>
    <w:rsid w:val="00F70E2B"/>
    <w:rsid w:val="00F71074"/>
    <w:rsid w:val="00FA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C9D8E"/>
  <w15:docId w15:val="{D3D1B683-AA0D-439F-AD01-794BF87C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rPr>
      <w:vertAlign w:val="superscript"/>
    </w:rPr>
  </w:style>
  <w:style w:type="paragraph" w:styleId="af5">
    <w:name w:val="endnote text"/>
    <w:basedOn w:val="a"/>
    <w:link w:val="af6"/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;Знак Знак"/>
    <w:link w:val="afb"/>
    <w:uiPriority w:val="99"/>
    <w:rPr>
      <w:sz w:val="28"/>
      <w:szCs w:val="28"/>
      <w:lang w:val="ru-RU" w:eastAsia="ru-RU" w:bidi="ar-SA"/>
    </w:rPr>
  </w:style>
  <w:style w:type="paragraph" w:customStyle="1" w:styleId="afb">
    <w:name w:val="Верхний колонтитул;Знак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25">
    <w:name w:val="Основной текст 2 Знак"/>
    <w:link w:val="26"/>
    <w:rPr>
      <w:sz w:val="28"/>
      <w:szCs w:val="28"/>
      <w:lang w:val="ru-RU" w:eastAsia="ru-RU" w:bidi="ar-SA"/>
    </w:rPr>
  </w:style>
  <w:style w:type="paragraph" w:styleId="26">
    <w:name w:val="Body Text 2"/>
    <w:basedOn w:val="a"/>
    <w:link w:val="25"/>
    <w:pPr>
      <w:jc w:val="both"/>
    </w:pPr>
  </w:style>
  <w:style w:type="character" w:customStyle="1" w:styleId="iceouttxt1">
    <w:name w:val="iceouttxt1"/>
    <w:rPr>
      <w:rFonts w:ascii="Arial" w:hAnsi="Arial" w:cs="Arial"/>
      <w:color w:val="666666"/>
      <w:sz w:val="14"/>
      <w:szCs w:val="1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customStyle="1" w:styleId="af6">
    <w:name w:val="Текст концевой сноски Знак"/>
    <w:basedOn w:val="a0"/>
    <w:link w:val="af5"/>
  </w:style>
  <w:style w:type="character" w:styleId="aff">
    <w:name w:val="FollowedHyperlink"/>
    <w:rPr>
      <w:color w:val="800080"/>
      <w:u w:val="single"/>
    </w:rPr>
  </w:style>
  <w:style w:type="character" w:customStyle="1" w:styleId="af3">
    <w:name w:val="Текст сноски Знак"/>
    <w:basedOn w:val="a0"/>
    <w:link w:val="af2"/>
  </w:style>
  <w:style w:type="character" w:customStyle="1" w:styleId="ae">
    <w:name w:val="Нижний колонтитул Знак"/>
    <w:link w:val="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tatarsk.nso.ru/page/20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iontatarsk.nso.ru/page/1539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iontatarsk.nso.ru/page/14357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18A8B-9DBF-4AE3-B7C9-29386FBCE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chln</dc:creator>
  <cp:lastModifiedBy>30uer_01</cp:lastModifiedBy>
  <cp:revision>5</cp:revision>
  <cp:lastPrinted>2025-01-16T01:50:00Z</cp:lastPrinted>
  <dcterms:created xsi:type="dcterms:W3CDTF">2025-01-15T01:39:00Z</dcterms:created>
  <dcterms:modified xsi:type="dcterms:W3CDTF">2025-01-16T01:51:00Z</dcterms:modified>
  <cp:version>1048576</cp:version>
</cp:coreProperties>
</file>