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C5" w:rsidRPr="00EE3E89" w:rsidRDefault="00592CEF" w:rsidP="00462C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3E89">
        <w:rPr>
          <w:rFonts w:ascii="Times New Roman" w:hAnsi="Times New Roman" w:cs="Times New Roman"/>
          <w:sz w:val="28"/>
          <w:szCs w:val="28"/>
        </w:rPr>
        <w:t>УТВЕРЖДЕН</w:t>
      </w:r>
    </w:p>
    <w:p w:rsidR="00592CEF" w:rsidRPr="00EE3E89" w:rsidRDefault="008754DA" w:rsidP="00462C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3E89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D367A" w:rsidRPr="00EE3E89">
        <w:rPr>
          <w:rFonts w:ascii="Times New Roman" w:hAnsi="Times New Roman" w:cs="Times New Roman"/>
          <w:sz w:val="28"/>
          <w:szCs w:val="28"/>
        </w:rPr>
        <w:t>О</w:t>
      </w:r>
      <w:r w:rsidR="00592CEF" w:rsidRPr="00EE3E89">
        <w:rPr>
          <w:rFonts w:ascii="Times New Roman" w:hAnsi="Times New Roman" w:cs="Times New Roman"/>
          <w:sz w:val="28"/>
          <w:szCs w:val="28"/>
        </w:rPr>
        <w:t>бщ</w:t>
      </w:r>
      <w:r w:rsidR="001D367A" w:rsidRPr="00EE3E89">
        <w:rPr>
          <w:rFonts w:ascii="Times New Roman" w:hAnsi="Times New Roman" w:cs="Times New Roman"/>
          <w:sz w:val="28"/>
          <w:szCs w:val="28"/>
        </w:rPr>
        <w:t>ественного</w:t>
      </w:r>
      <w:r w:rsidR="00592CEF" w:rsidRPr="00EE3E89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4812D9" w:rsidRPr="00EE3E89">
        <w:rPr>
          <w:rFonts w:ascii="Times New Roman" w:hAnsi="Times New Roman" w:cs="Times New Roman"/>
          <w:sz w:val="28"/>
          <w:szCs w:val="28"/>
        </w:rPr>
        <w:t xml:space="preserve"> по улучшению инвестиционного климата и развитию предпринимательства в Татарском районе</w:t>
      </w:r>
    </w:p>
    <w:p w:rsidR="001D367A" w:rsidRPr="007804D9" w:rsidRDefault="004812D9" w:rsidP="00462C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04D9">
        <w:rPr>
          <w:rFonts w:ascii="Times New Roman" w:hAnsi="Times New Roman" w:cs="Times New Roman"/>
          <w:sz w:val="28"/>
          <w:szCs w:val="28"/>
        </w:rPr>
        <w:t xml:space="preserve"> </w:t>
      </w:r>
      <w:r w:rsidR="00161172" w:rsidRPr="007804D9">
        <w:rPr>
          <w:rFonts w:ascii="Times New Roman" w:hAnsi="Times New Roman" w:cs="Times New Roman"/>
          <w:sz w:val="28"/>
          <w:szCs w:val="28"/>
        </w:rPr>
        <w:t>(</w:t>
      </w:r>
      <w:r w:rsidR="001307A5" w:rsidRPr="007804D9">
        <w:rPr>
          <w:rFonts w:ascii="Times New Roman" w:hAnsi="Times New Roman" w:cs="Times New Roman"/>
          <w:sz w:val="28"/>
          <w:szCs w:val="28"/>
        </w:rPr>
        <w:t xml:space="preserve">протокол  № </w:t>
      </w:r>
      <w:r w:rsidR="007804D9" w:rsidRPr="007804D9">
        <w:rPr>
          <w:rFonts w:ascii="Times New Roman" w:hAnsi="Times New Roman" w:cs="Times New Roman"/>
          <w:sz w:val="28"/>
          <w:szCs w:val="28"/>
        </w:rPr>
        <w:t>2</w:t>
      </w:r>
      <w:r w:rsidR="001307A5" w:rsidRPr="007804D9">
        <w:rPr>
          <w:rFonts w:ascii="Times New Roman" w:hAnsi="Times New Roman" w:cs="Times New Roman"/>
          <w:sz w:val="28"/>
          <w:szCs w:val="28"/>
        </w:rPr>
        <w:t xml:space="preserve"> от «2</w:t>
      </w:r>
      <w:r w:rsidR="007804D9" w:rsidRPr="007804D9">
        <w:rPr>
          <w:rFonts w:ascii="Times New Roman" w:hAnsi="Times New Roman" w:cs="Times New Roman"/>
          <w:sz w:val="28"/>
          <w:szCs w:val="28"/>
        </w:rPr>
        <w:t>4</w:t>
      </w:r>
      <w:r w:rsidR="001307A5" w:rsidRPr="007804D9">
        <w:rPr>
          <w:rFonts w:ascii="Times New Roman" w:hAnsi="Times New Roman" w:cs="Times New Roman"/>
          <w:sz w:val="28"/>
          <w:szCs w:val="28"/>
        </w:rPr>
        <w:t>» ма</w:t>
      </w:r>
      <w:r w:rsidR="007804D9" w:rsidRPr="007804D9">
        <w:rPr>
          <w:rFonts w:ascii="Times New Roman" w:hAnsi="Times New Roman" w:cs="Times New Roman"/>
          <w:sz w:val="28"/>
          <w:szCs w:val="28"/>
        </w:rPr>
        <w:t>рта</w:t>
      </w:r>
      <w:r w:rsidR="001307A5" w:rsidRPr="007804D9">
        <w:rPr>
          <w:rFonts w:ascii="Times New Roman" w:hAnsi="Times New Roman" w:cs="Times New Roman"/>
          <w:sz w:val="28"/>
          <w:szCs w:val="28"/>
        </w:rPr>
        <w:t xml:space="preserve"> 202</w:t>
      </w:r>
      <w:r w:rsidR="007804D9" w:rsidRPr="007804D9">
        <w:rPr>
          <w:rFonts w:ascii="Times New Roman" w:hAnsi="Times New Roman" w:cs="Times New Roman"/>
          <w:sz w:val="28"/>
          <w:szCs w:val="28"/>
        </w:rPr>
        <w:t>1</w:t>
      </w:r>
      <w:r w:rsidR="001307A5" w:rsidRPr="007804D9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1D367A" w:rsidRPr="005E1CD8" w:rsidRDefault="001D367A" w:rsidP="001D367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F54BB" w:rsidRDefault="00592CEF" w:rsidP="003E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E1CD8">
        <w:rPr>
          <w:rFonts w:ascii="Times New Roman" w:hAnsi="Times New Roman" w:cs="Times New Roman"/>
          <w:b/>
          <w:sz w:val="28"/>
          <w:szCs w:val="28"/>
        </w:rPr>
        <w:t>Доклад</w:t>
      </w:r>
      <w:r w:rsidRPr="005E1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</w:t>
      </w:r>
      <w:proofErr w:type="gramStart"/>
      <w:r w:rsidR="007928F1" w:rsidRPr="005E1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антимонопольном</w:t>
      </w:r>
      <w:proofErr w:type="gramEnd"/>
      <w:r w:rsidR="007928F1" w:rsidRPr="005E1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комплаенсе</w:t>
      </w:r>
      <w:r w:rsidR="004B607F" w:rsidRPr="005E1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1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B7700" w:rsidRPr="005E1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:rsidR="00592CEF" w:rsidRPr="005E1CD8" w:rsidRDefault="00AB7700" w:rsidP="003E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Татарского района за</w:t>
      </w:r>
      <w:r w:rsidR="007928F1" w:rsidRPr="005E1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5E1CD8" w:rsidRPr="005E1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928F1" w:rsidRPr="005E1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bookmarkEnd w:id="0"/>
    <w:p w:rsidR="003E5813" w:rsidRPr="005E1CD8" w:rsidRDefault="003E5813" w:rsidP="003E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840" w:rsidRDefault="00AC5840" w:rsidP="00BC1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8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 исполнение Указа Президента Российской Федерации от 21.12.2017 №618 «Об основных направлениях государственной политики по развитию конкуренции», </w:t>
      </w:r>
      <w:r w:rsidRPr="00AC584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распоряжением Правительства Российской Федерации от 18.10.2018 №2258-р  «Об утверждении рекомендаций 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с целью единого подхода к созданию и организации антимонопольного комплаенса в </w:t>
      </w:r>
      <w:r w:rsidRPr="00AC5840">
        <w:rPr>
          <w:rFonts w:ascii="Times New Roman" w:hAnsi="Times New Roman" w:cs="Times New Roman"/>
          <w:sz w:val="28"/>
          <w:szCs w:val="28"/>
        </w:rPr>
        <w:t>администрации Татарского муниципального района</w:t>
      </w:r>
      <w:proofErr w:type="gramEnd"/>
      <w:r w:rsidRPr="00AC5840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Администрация) были утверждены:</w:t>
      </w:r>
    </w:p>
    <w:p w:rsidR="00AC5840" w:rsidRDefault="00AC5840" w:rsidP="00BC1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533A">
        <w:rPr>
          <w:rFonts w:ascii="Times New Roman" w:hAnsi="Times New Roman" w:cs="Times New Roman"/>
          <w:b/>
          <w:sz w:val="28"/>
          <w:szCs w:val="28"/>
        </w:rPr>
        <w:t>-</w:t>
      </w:r>
      <w:r w:rsidRPr="00FA6D29">
        <w:rPr>
          <w:rFonts w:ascii="Times New Roman" w:hAnsi="Times New Roman" w:cs="Times New Roman"/>
          <w:sz w:val="28"/>
          <w:szCs w:val="28"/>
        </w:rPr>
        <w:t>Положение об организации системы внутреннего обеспечения соответствия требованиям антимонопольного законодательства (антимонопольный комплаенс) в администрации Татарского района</w:t>
      </w:r>
      <w:r w:rsidRPr="00AC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9F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Татарского района </w:t>
      </w:r>
      <w:r w:rsidRPr="009F54BB">
        <w:rPr>
          <w:rFonts w:ascii="Times New Roman" w:hAnsi="Times New Roman" w:cs="Times New Roman"/>
          <w:sz w:val="28"/>
        </w:rPr>
        <w:t>от  02.07.2019г. № 235</w:t>
      </w:r>
      <w:r>
        <w:rPr>
          <w:rFonts w:ascii="Times New Roman" w:hAnsi="Times New Roman" w:cs="Times New Roman"/>
          <w:sz w:val="28"/>
        </w:rPr>
        <w:t>);</w:t>
      </w:r>
    </w:p>
    <w:p w:rsidR="0044533A" w:rsidRDefault="0044533A" w:rsidP="00BC1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533A">
        <w:rPr>
          <w:rFonts w:ascii="Times New Roman" w:hAnsi="Times New Roman" w:cs="Times New Roman"/>
          <w:b/>
          <w:sz w:val="28"/>
          <w:szCs w:val="28"/>
        </w:rPr>
        <w:t>-</w:t>
      </w:r>
      <w:r w:rsidRPr="0044533A">
        <w:rPr>
          <w:rFonts w:ascii="Times New Roman" w:hAnsi="Times New Roman" w:cs="Times New Roman"/>
          <w:sz w:val="28"/>
          <w:szCs w:val="28"/>
        </w:rPr>
        <w:t>Карта комплаенс-рисков администрации 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(постановление администрации Татарского района </w:t>
      </w:r>
      <w:r w:rsidRPr="0044533A">
        <w:rPr>
          <w:rFonts w:ascii="Times New Roman" w:hAnsi="Times New Roman" w:cs="Times New Roman"/>
          <w:sz w:val="28"/>
        </w:rPr>
        <w:t>от  0</w:t>
      </w:r>
      <w:r>
        <w:rPr>
          <w:rFonts w:ascii="Times New Roman" w:hAnsi="Times New Roman" w:cs="Times New Roman"/>
          <w:sz w:val="28"/>
        </w:rPr>
        <w:t>7</w:t>
      </w:r>
      <w:r w:rsidRPr="0044533A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2</w:t>
      </w:r>
      <w:r w:rsidRPr="0044533A">
        <w:rPr>
          <w:rFonts w:ascii="Times New Roman" w:hAnsi="Times New Roman" w:cs="Times New Roman"/>
          <w:sz w:val="28"/>
        </w:rPr>
        <w:t>.2020г</w:t>
      </w:r>
      <w:r w:rsidRPr="009F54BB">
        <w:rPr>
          <w:rFonts w:ascii="Times New Roman" w:hAnsi="Times New Roman" w:cs="Times New Roman"/>
          <w:sz w:val="28"/>
        </w:rPr>
        <w:t xml:space="preserve">. № </w:t>
      </w:r>
      <w:r>
        <w:rPr>
          <w:rFonts w:ascii="Times New Roman" w:hAnsi="Times New Roman" w:cs="Times New Roman"/>
          <w:sz w:val="28"/>
        </w:rPr>
        <w:t>62/2);</w:t>
      </w:r>
    </w:p>
    <w:p w:rsidR="0044533A" w:rsidRDefault="0044533A" w:rsidP="00BC1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533A">
        <w:rPr>
          <w:rFonts w:ascii="Times New Roman" w:hAnsi="Times New Roman" w:cs="Times New Roman"/>
          <w:b/>
          <w:sz w:val="28"/>
        </w:rPr>
        <w:t>-</w:t>
      </w:r>
      <w:r w:rsidRPr="0044533A">
        <w:rPr>
          <w:rFonts w:ascii="Times New Roman" w:hAnsi="Times New Roman" w:cs="Times New Roman"/>
          <w:sz w:val="28"/>
          <w:szCs w:val="28"/>
        </w:rPr>
        <w:t>Ключевые показатели эффективности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33A">
        <w:rPr>
          <w:rFonts w:ascii="Times New Roman" w:hAnsi="Times New Roman" w:cs="Times New Roman"/>
          <w:sz w:val="28"/>
          <w:szCs w:val="28"/>
        </w:rPr>
        <w:t>антимонопольного комплаенса в Татарском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9F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Татарского района </w:t>
      </w:r>
      <w:r w:rsidRPr="009F54BB">
        <w:rPr>
          <w:rFonts w:ascii="Times New Roman" w:hAnsi="Times New Roman" w:cs="Times New Roman"/>
          <w:sz w:val="28"/>
        </w:rPr>
        <w:t>от  02.0</w:t>
      </w:r>
      <w:r>
        <w:rPr>
          <w:rFonts w:ascii="Times New Roman" w:hAnsi="Times New Roman" w:cs="Times New Roman"/>
          <w:sz w:val="28"/>
        </w:rPr>
        <w:t>3.2020</w:t>
      </w:r>
      <w:r w:rsidRPr="009F54BB">
        <w:rPr>
          <w:rFonts w:ascii="Times New Roman" w:hAnsi="Times New Roman" w:cs="Times New Roman"/>
          <w:sz w:val="28"/>
        </w:rPr>
        <w:t xml:space="preserve">г. № </w:t>
      </w:r>
      <w:r>
        <w:rPr>
          <w:rFonts w:ascii="Times New Roman" w:hAnsi="Times New Roman" w:cs="Times New Roman"/>
          <w:sz w:val="28"/>
        </w:rPr>
        <w:t>99);</w:t>
      </w:r>
    </w:p>
    <w:p w:rsidR="0044533A" w:rsidRDefault="00AC5840" w:rsidP="00BC1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533A">
        <w:rPr>
          <w:rFonts w:ascii="Times New Roman" w:hAnsi="Times New Roman" w:cs="Times New Roman"/>
          <w:b/>
          <w:sz w:val="28"/>
        </w:rPr>
        <w:t>-</w:t>
      </w:r>
      <w:r w:rsidRPr="00AA600C">
        <w:rPr>
          <w:rFonts w:ascii="Times New Roman" w:hAnsi="Times New Roman" w:cs="Times New Roman"/>
          <w:sz w:val="28"/>
          <w:szCs w:val="28"/>
        </w:rPr>
        <w:t>«Дорожн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A600C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600C">
        <w:rPr>
          <w:rFonts w:ascii="Times New Roman" w:hAnsi="Times New Roman" w:cs="Times New Roman"/>
          <w:sz w:val="28"/>
          <w:szCs w:val="28"/>
        </w:rPr>
        <w:t xml:space="preserve">» по снижению комплаенс-рисков администрации Татарского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9F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Татарского района </w:t>
      </w:r>
      <w:r w:rsidRPr="009F54BB">
        <w:rPr>
          <w:rFonts w:ascii="Times New Roman" w:hAnsi="Times New Roman" w:cs="Times New Roman"/>
          <w:sz w:val="28"/>
        </w:rPr>
        <w:t>от  02.0</w:t>
      </w:r>
      <w:r>
        <w:rPr>
          <w:rFonts w:ascii="Times New Roman" w:hAnsi="Times New Roman" w:cs="Times New Roman"/>
          <w:sz w:val="28"/>
        </w:rPr>
        <w:t>3.2020</w:t>
      </w:r>
      <w:r w:rsidRPr="009F54BB">
        <w:rPr>
          <w:rFonts w:ascii="Times New Roman" w:hAnsi="Times New Roman" w:cs="Times New Roman"/>
          <w:sz w:val="28"/>
        </w:rPr>
        <w:t xml:space="preserve">г. № </w:t>
      </w:r>
      <w:r>
        <w:rPr>
          <w:rFonts w:ascii="Times New Roman" w:hAnsi="Times New Roman" w:cs="Times New Roman"/>
          <w:sz w:val="28"/>
        </w:rPr>
        <w:t>100</w:t>
      </w:r>
      <w:r w:rsidR="0044533A">
        <w:rPr>
          <w:rFonts w:ascii="Times New Roman" w:hAnsi="Times New Roman" w:cs="Times New Roman"/>
          <w:sz w:val="28"/>
        </w:rPr>
        <w:t>).</w:t>
      </w:r>
    </w:p>
    <w:p w:rsidR="0002682B" w:rsidRPr="0002682B" w:rsidRDefault="0002682B" w:rsidP="00BC1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2B">
        <w:rPr>
          <w:rFonts w:ascii="Times New Roman" w:hAnsi="Times New Roman" w:cs="Times New Roman"/>
          <w:sz w:val="28"/>
          <w:szCs w:val="28"/>
        </w:rPr>
        <w:t>Функции уполномоченного подразделения, связанные с организацией и функционированием антимонопольного комплаенса, распределяются между следующими структурными подразделениями Администрации:</w:t>
      </w:r>
    </w:p>
    <w:p w:rsidR="0002682B" w:rsidRPr="0002682B" w:rsidRDefault="0002682B" w:rsidP="00BC1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82B">
        <w:rPr>
          <w:rFonts w:ascii="Times New Roman" w:hAnsi="Times New Roman" w:cs="Times New Roman"/>
          <w:sz w:val="28"/>
          <w:szCs w:val="28"/>
        </w:rPr>
        <w:t xml:space="preserve">а) управлением экономического развития, инвестиций и трудовых отношений Администрации,  </w:t>
      </w:r>
    </w:p>
    <w:p w:rsidR="0002682B" w:rsidRPr="0002682B" w:rsidRDefault="0002682B" w:rsidP="00BC1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82B">
        <w:rPr>
          <w:rFonts w:ascii="Times New Roman" w:hAnsi="Times New Roman" w:cs="Times New Roman"/>
          <w:sz w:val="28"/>
          <w:szCs w:val="28"/>
        </w:rPr>
        <w:t xml:space="preserve">б) юридический отдел Администрации,  </w:t>
      </w:r>
    </w:p>
    <w:p w:rsidR="0002682B" w:rsidRPr="0002682B" w:rsidRDefault="0002682B" w:rsidP="00BC1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82B">
        <w:rPr>
          <w:rFonts w:ascii="Times New Roman" w:hAnsi="Times New Roman" w:cs="Times New Roman"/>
          <w:sz w:val="28"/>
          <w:szCs w:val="28"/>
        </w:rPr>
        <w:t>в) отдел организационной работы, контроля и связей с общественностью Администрации.</w:t>
      </w:r>
    </w:p>
    <w:p w:rsidR="00AC5840" w:rsidRPr="00BC1F49" w:rsidRDefault="00AC5840" w:rsidP="00BC1F49">
      <w:pPr>
        <w:spacing w:after="0" w:line="240" w:lineRule="auto"/>
        <w:ind w:firstLine="567"/>
        <w:jc w:val="both"/>
      </w:pPr>
      <w:r w:rsidRPr="00BC1F49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="00BC1F49" w:rsidRPr="00BC1F49">
        <w:rPr>
          <w:rFonts w:ascii="Times New Roman" w:eastAsia="Times New Roman" w:hAnsi="Times New Roman" w:cs="Times New Roman"/>
          <w:sz w:val="28"/>
          <w:szCs w:val="28"/>
        </w:rPr>
        <w:t>и подразделения</w:t>
      </w:r>
      <w:r w:rsidRPr="00BC1F4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C1F49" w:rsidRPr="00BC1F4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1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F49" w:rsidRPr="00BC1F4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BC1F49">
        <w:rPr>
          <w:rFonts w:ascii="Times New Roman" w:eastAsia="Times New Roman" w:hAnsi="Times New Roman" w:cs="Times New Roman"/>
          <w:sz w:val="28"/>
          <w:szCs w:val="28"/>
        </w:rPr>
        <w:t xml:space="preserve">, деятельность которых связана с исполнением антимонопольного законодательства, реализованы следующие мероприятия по внедрению и организации антимонопольного комплаенса в </w:t>
      </w:r>
      <w:r w:rsidR="00BC1F4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1F49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BC1F49" w:rsidRPr="00BC1F4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1F49" w:rsidRDefault="00AC5840" w:rsidP="00BC1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C1F49">
        <w:rPr>
          <w:rFonts w:ascii="Times New Roman" w:eastAsia="Times New Roman" w:hAnsi="Times New Roman" w:cs="Times New Roman"/>
          <w:sz w:val="28"/>
          <w:szCs w:val="28"/>
        </w:rPr>
        <w:t xml:space="preserve">1. С целью разъяснения принципов организации и функционирования антимонопольного комплаенса </w:t>
      </w:r>
      <w:r w:rsidR="00BC1F49" w:rsidRPr="00BC1F49">
        <w:rPr>
          <w:rFonts w:ascii="Times New Roman" w:eastAsia="Times New Roman" w:hAnsi="Times New Roman" w:cs="Times New Roman"/>
          <w:sz w:val="28"/>
          <w:szCs w:val="28"/>
        </w:rPr>
        <w:t xml:space="preserve">было произведено ознакомление сотрудников Администрации с </w:t>
      </w:r>
      <w:r w:rsidR="00BC1F49" w:rsidRPr="00BC1F49">
        <w:rPr>
          <w:rFonts w:ascii="Times New Roman" w:hAnsi="Times New Roman" w:cs="Times New Roman"/>
          <w:sz w:val="28"/>
          <w:szCs w:val="28"/>
        </w:rPr>
        <w:t>Положением</w:t>
      </w:r>
      <w:r w:rsidR="00BC1F49" w:rsidRPr="00FA6D29">
        <w:rPr>
          <w:rFonts w:ascii="Times New Roman" w:hAnsi="Times New Roman" w:cs="Times New Roman"/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(</w:t>
      </w:r>
      <w:proofErr w:type="gramStart"/>
      <w:r w:rsidR="00BC1F49" w:rsidRPr="00FA6D29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="00BC1F49" w:rsidRPr="00FA6D29">
        <w:rPr>
          <w:rFonts w:ascii="Times New Roman" w:hAnsi="Times New Roman" w:cs="Times New Roman"/>
          <w:sz w:val="28"/>
          <w:szCs w:val="28"/>
        </w:rPr>
        <w:t xml:space="preserve"> комплаенс) в администрации Татарского района</w:t>
      </w:r>
      <w:r w:rsidR="00BC1F49">
        <w:rPr>
          <w:rFonts w:ascii="Times New Roman" w:hAnsi="Times New Roman" w:cs="Times New Roman"/>
          <w:sz w:val="28"/>
        </w:rPr>
        <w:t>;</w:t>
      </w:r>
    </w:p>
    <w:p w:rsidR="00BC1F49" w:rsidRPr="00A13EF1" w:rsidRDefault="00BC1F49" w:rsidP="00A13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E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С </w:t>
      </w:r>
      <w:r w:rsidRPr="00A13EF1">
        <w:rPr>
          <w:rFonts w:ascii="Times New Roman" w:eastAsia="Times New Roman" w:hAnsi="Times New Roman" w:cs="Times New Roman"/>
          <w:sz w:val="28"/>
          <w:szCs w:val="28"/>
        </w:rPr>
        <w:t>целью обеспечения свободного доступа к материалам по организации системы антимонопольного комплаенса на официальном сайте Администрации создан раздел</w:t>
      </w:r>
      <w:r w:rsidR="00A13EF1" w:rsidRPr="00A13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EF1" w:rsidRPr="00A13EF1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«Антимонопольный комплаенс»</w:t>
      </w:r>
      <w:r w:rsidRPr="00A13EF1">
        <w:rPr>
          <w:rFonts w:ascii="Times New Roman" w:eastAsia="Times New Roman" w:hAnsi="Times New Roman" w:cs="Times New Roman"/>
          <w:sz w:val="28"/>
          <w:szCs w:val="28"/>
        </w:rPr>
        <w:t>, где размещена вся нормативно-правовая база по реализации системы антимонопольного комплаенса</w:t>
      </w:r>
      <w:r w:rsidR="00882E58" w:rsidRPr="00A13EF1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Татарского района</w:t>
      </w:r>
      <w:r w:rsidRPr="00A13E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5840" w:rsidRPr="00882E58" w:rsidRDefault="00AC5840" w:rsidP="00BC1F49">
      <w:pPr>
        <w:spacing w:after="0" w:line="240" w:lineRule="auto"/>
        <w:ind w:firstLine="567"/>
        <w:jc w:val="both"/>
      </w:pPr>
      <w:r w:rsidRPr="00882E58">
        <w:rPr>
          <w:rFonts w:ascii="Times New Roman" w:eastAsia="Times New Roman" w:hAnsi="Times New Roman" w:cs="Times New Roman"/>
          <w:sz w:val="28"/>
          <w:szCs w:val="28"/>
        </w:rPr>
        <w:t>3. С целью выявления нарушений антимонопольного законодательства за предыдущи</w:t>
      </w:r>
      <w:r w:rsidR="00882E58" w:rsidRPr="00882E5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882E58">
        <w:rPr>
          <w:rFonts w:ascii="Times New Roman" w:eastAsia="Times New Roman" w:hAnsi="Times New Roman" w:cs="Times New Roman"/>
          <w:sz w:val="28"/>
          <w:szCs w:val="28"/>
        </w:rPr>
        <w:t>год проведен мониторинг  по наличию предостережений, предупреждений, штрафов, жалоб, возбужденных дел в области антимонопольного законодательства.</w:t>
      </w:r>
    </w:p>
    <w:p w:rsidR="00AC5840" w:rsidRPr="00882E58" w:rsidRDefault="00AC5840" w:rsidP="00BC1F49">
      <w:pPr>
        <w:spacing w:after="0" w:line="240" w:lineRule="auto"/>
        <w:ind w:firstLine="567"/>
        <w:jc w:val="both"/>
      </w:pPr>
      <w:r w:rsidRPr="00882E58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дел по вопросам применения и возможного нарушения </w:t>
      </w:r>
      <w:r w:rsidR="00882E58" w:rsidRPr="00882E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82E58">
        <w:rPr>
          <w:rFonts w:ascii="Times New Roman" w:eastAsia="Times New Roman" w:hAnsi="Times New Roman" w:cs="Times New Roman"/>
          <w:sz w:val="28"/>
          <w:szCs w:val="28"/>
        </w:rPr>
        <w:t>дминистрацией норм антимонопольного законодательства в судебных инстанциях не осуществлялось.</w:t>
      </w:r>
      <w:r w:rsidR="00B27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7A38" w:rsidRDefault="00AC5840" w:rsidP="00BC1F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7A38">
        <w:rPr>
          <w:rFonts w:ascii="Times New Roman" w:eastAsia="Times New Roman" w:hAnsi="Times New Roman" w:cs="Times New Roman"/>
          <w:sz w:val="28"/>
          <w:szCs w:val="28"/>
        </w:rPr>
        <w:t>4. </w:t>
      </w:r>
      <w:proofErr w:type="gramStart"/>
      <w:r w:rsidRPr="00417A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7A38">
        <w:rPr>
          <w:rFonts w:ascii="Times New Roman" w:hAnsi="Times New Roman" w:cs="Times New Roman"/>
          <w:sz w:val="28"/>
          <w:szCs w:val="28"/>
        </w:rPr>
        <w:t xml:space="preserve"> целях выявления и исключения рисков нарушения ант</w:t>
      </w:r>
      <w:r w:rsidR="00417A38">
        <w:rPr>
          <w:rFonts w:ascii="Times New Roman" w:hAnsi="Times New Roman" w:cs="Times New Roman"/>
          <w:sz w:val="28"/>
          <w:szCs w:val="28"/>
        </w:rPr>
        <w:t xml:space="preserve">имонопольного законодательства </w:t>
      </w:r>
      <w:r w:rsidRPr="00417A38">
        <w:rPr>
          <w:rFonts w:ascii="Times New Roman" w:hAnsi="Times New Roman" w:cs="Times New Roman"/>
          <w:sz w:val="28"/>
          <w:szCs w:val="28"/>
        </w:rPr>
        <w:t xml:space="preserve">и анализа соответствия законодательству проектов нормативно правовых актов </w:t>
      </w:r>
      <w:r w:rsidR="00417A38" w:rsidRPr="00417A38">
        <w:rPr>
          <w:rFonts w:ascii="Times New Roman" w:hAnsi="Times New Roman" w:cs="Times New Roman"/>
          <w:sz w:val="28"/>
          <w:szCs w:val="28"/>
        </w:rPr>
        <w:t xml:space="preserve">отделом организационной работы, контроля и связей с общественностью Администрации </w:t>
      </w:r>
      <w:r w:rsidR="00417A38" w:rsidRPr="00417A38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в разделе </w:t>
      </w:r>
      <w:r w:rsidR="00417A38" w:rsidRPr="0041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«Муниципальные услуги» в 2020 году  были </w:t>
      </w:r>
      <w:r w:rsidRPr="00417A38">
        <w:rPr>
          <w:rFonts w:ascii="Times New Roman" w:hAnsi="Times New Roman" w:cs="Times New Roman"/>
          <w:sz w:val="28"/>
          <w:szCs w:val="28"/>
        </w:rPr>
        <w:t>размещен</w:t>
      </w:r>
      <w:r w:rsidR="00417A38" w:rsidRPr="00417A38">
        <w:rPr>
          <w:rFonts w:ascii="Times New Roman" w:hAnsi="Times New Roman" w:cs="Times New Roman"/>
          <w:sz w:val="28"/>
          <w:szCs w:val="28"/>
        </w:rPr>
        <w:t>ы</w:t>
      </w:r>
      <w:r w:rsidRPr="00417A38">
        <w:rPr>
          <w:rFonts w:ascii="Times New Roman" w:hAnsi="Times New Roman" w:cs="Times New Roman"/>
          <w:sz w:val="28"/>
          <w:szCs w:val="28"/>
        </w:rPr>
        <w:t xml:space="preserve"> </w:t>
      </w:r>
      <w:r w:rsidR="00417A38" w:rsidRPr="00417A38"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417A38">
        <w:rPr>
          <w:rFonts w:ascii="Times New Roman" w:hAnsi="Times New Roman" w:cs="Times New Roman"/>
          <w:sz w:val="28"/>
          <w:szCs w:val="28"/>
        </w:rPr>
        <w:t>нормативн</w:t>
      </w:r>
      <w:r w:rsidR="00417A38" w:rsidRPr="00417A38">
        <w:rPr>
          <w:rFonts w:ascii="Times New Roman" w:hAnsi="Times New Roman" w:cs="Times New Roman"/>
          <w:sz w:val="28"/>
          <w:szCs w:val="28"/>
        </w:rPr>
        <w:t>ых</w:t>
      </w:r>
      <w:r w:rsidRPr="00417A38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417A38" w:rsidRPr="00417A38">
        <w:rPr>
          <w:rFonts w:ascii="Times New Roman" w:hAnsi="Times New Roman" w:cs="Times New Roman"/>
          <w:sz w:val="28"/>
          <w:szCs w:val="28"/>
        </w:rPr>
        <w:t>А</w:t>
      </w:r>
      <w:r w:rsidRPr="00417A38">
        <w:rPr>
          <w:rFonts w:ascii="Times New Roman" w:hAnsi="Times New Roman" w:cs="Times New Roman"/>
          <w:sz w:val="28"/>
          <w:szCs w:val="28"/>
        </w:rPr>
        <w:t>дминистрации (с приложением текстов таких актов) с уведомлением о начале сбора замечаний организаций и граждан.</w:t>
      </w:r>
      <w:r w:rsidRPr="00EE3E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AC5840" w:rsidRPr="00417A38" w:rsidRDefault="00AC5840" w:rsidP="00BC1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A3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17A38">
        <w:rPr>
          <w:rFonts w:ascii="Times New Roman" w:hAnsi="Times New Roman" w:cs="Times New Roman"/>
          <w:sz w:val="28"/>
          <w:szCs w:val="28"/>
        </w:rPr>
        <w:t>срок, отведенный для  проведения публичных консультаций  замечаний от организаций и граждан не поступало</w:t>
      </w:r>
      <w:proofErr w:type="gramEnd"/>
      <w:r w:rsidRPr="00417A38">
        <w:rPr>
          <w:rFonts w:ascii="Times New Roman" w:hAnsi="Times New Roman" w:cs="Times New Roman"/>
          <w:sz w:val="28"/>
          <w:szCs w:val="28"/>
        </w:rPr>
        <w:t>.</w:t>
      </w:r>
      <w:r w:rsidR="00417A38">
        <w:rPr>
          <w:rFonts w:ascii="Times New Roman" w:hAnsi="Times New Roman" w:cs="Times New Roman"/>
          <w:sz w:val="28"/>
          <w:szCs w:val="28"/>
        </w:rPr>
        <w:t xml:space="preserve"> </w:t>
      </w:r>
      <w:r w:rsidRPr="00417A38"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нормативных правовых актов </w:t>
      </w:r>
      <w:r w:rsidR="00417A38" w:rsidRPr="00417A38">
        <w:rPr>
          <w:rFonts w:ascii="Times New Roman" w:hAnsi="Times New Roman" w:cs="Times New Roman"/>
          <w:sz w:val="28"/>
          <w:szCs w:val="28"/>
        </w:rPr>
        <w:t>А</w:t>
      </w:r>
      <w:r w:rsidRPr="00417A38">
        <w:rPr>
          <w:rFonts w:ascii="Times New Roman" w:hAnsi="Times New Roman" w:cs="Times New Roman"/>
          <w:sz w:val="28"/>
          <w:szCs w:val="28"/>
        </w:rPr>
        <w:t>дминистрацией сделан вывод об их соответствии антимонопольному законодательству</w:t>
      </w:r>
      <w:r w:rsidR="00417A38" w:rsidRPr="00417A38">
        <w:rPr>
          <w:rFonts w:ascii="Times New Roman" w:hAnsi="Times New Roman" w:cs="Times New Roman"/>
          <w:sz w:val="28"/>
          <w:szCs w:val="28"/>
        </w:rPr>
        <w:t>.</w:t>
      </w:r>
    </w:p>
    <w:p w:rsidR="00AC5840" w:rsidRPr="004D4EC1" w:rsidRDefault="00AC5840" w:rsidP="00BC1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EC1">
        <w:rPr>
          <w:rFonts w:ascii="Times New Roman" w:hAnsi="Times New Roman" w:cs="Times New Roman"/>
          <w:sz w:val="28"/>
          <w:szCs w:val="28"/>
        </w:rPr>
        <w:t xml:space="preserve">5. В целях исключения рисков и недопущения нарушения антимонопольного законодательства на регулярной основе </w:t>
      </w:r>
      <w:r w:rsidR="00417A38" w:rsidRPr="004D4EC1">
        <w:rPr>
          <w:rFonts w:ascii="Times New Roman" w:hAnsi="Times New Roman" w:cs="Times New Roman"/>
          <w:sz w:val="28"/>
          <w:szCs w:val="28"/>
        </w:rPr>
        <w:t xml:space="preserve">юридический отдел Администрации производит экспертизу проектов нормативных правовых актов Администрации.  За 2020 год юридическим отделом Администрации </w:t>
      </w:r>
      <w:r w:rsidR="004D4EC1" w:rsidRPr="004D4EC1">
        <w:rPr>
          <w:rFonts w:ascii="Times New Roman" w:hAnsi="Times New Roman" w:cs="Times New Roman"/>
          <w:sz w:val="28"/>
          <w:szCs w:val="28"/>
        </w:rPr>
        <w:t xml:space="preserve">было </w:t>
      </w:r>
      <w:r w:rsidR="00417A38" w:rsidRPr="004D4EC1">
        <w:rPr>
          <w:rFonts w:ascii="Times New Roman" w:hAnsi="Times New Roman" w:cs="Times New Roman"/>
          <w:sz w:val="28"/>
          <w:szCs w:val="28"/>
        </w:rPr>
        <w:t>прове</w:t>
      </w:r>
      <w:r w:rsidR="00193D6B">
        <w:rPr>
          <w:rFonts w:ascii="Times New Roman" w:hAnsi="Times New Roman" w:cs="Times New Roman"/>
          <w:sz w:val="28"/>
          <w:szCs w:val="28"/>
        </w:rPr>
        <w:t>дено</w:t>
      </w:r>
      <w:r w:rsidR="00417A38" w:rsidRPr="004D4EC1">
        <w:rPr>
          <w:rFonts w:ascii="Times New Roman" w:hAnsi="Times New Roman" w:cs="Times New Roman"/>
          <w:sz w:val="28"/>
          <w:szCs w:val="28"/>
        </w:rPr>
        <w:t xml:space="preserve"> 1000</w:t>
      </w:r>
      <w:r w:rsidR="00193D6B">
        <w:rPr>
          <w:rFonts w:ascii="Times New Roman" w:hAnsi="Times New Roman" w:cs="Times New Roman"/>
          <w:sz w:val="28"/>
          <w:szCs w:val="28"/>
        </w:rPr>
        <w:t xml:space="preserve"> экспертиз </w:t>
      </w:r>
      <w:r w:rsidR="004D4EC1" w:rsidRPr="004D4EC1">
        <w:rPr>
          <w:rFonts w:ascii="Times New Roman" w:hAnsi="Times New Roman" w:cs="Times New Roman"/>
          <w:sz w:val="28"/>
          <w:szCs w:val="28"/>
        </w:rPr>
        <w:t xml:space="preserve">нормативных правовых актов, </w:t>
      </w:r>
      <w:r w:rsidRPr="004D4EC1">
        <w:rPr>
          <w:rFonts w:ascii="Times New Roman" w:hAnsi="Times New Roman" w:cs="Times New Roman"/>
          <w:sz w:val="28"/>
          <w:szCs w:val="28"/>
        </w:rPr>
        <w:t>сделан вывод об их соответствии антимонопольному законодательству.</w:t>
      </w:r>
    </w:p>
    <w:p w:rsidR="00FB351D" w:rsidRPr="00FB351D" w:rsidRDefault="00FB351D" w:rsidP="00BC1F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351D">
        <w:rPr>
          <w:rFonts w:ascii="Times New Roman" w:hAnsi="Times New Roman" w:cs="Times New Roman"/>
          <w:sz w:val="28"/>
          <w:szCs w:val="28"/>
        </w:rPr>
        <w:t xml:space="preserve">6. В целях оценки эффективности внедрения и организации в администрации </w:t>
      </w:r>
      <w:r w:rsidRPr="008C7F68">
        <w:rPr>
          <w:rFonts w:ascii="Times New Roman" w:hAnsi="Times New Roman" w:cs="Times New Roman"/>
          <w:sz w:val="28"/>
          <w:szCs w:val="28"/>
        </w:rPr>
        <w:t>Татарского района антимонопольного комплаенса проведена оценка достижения ключевых показателей эффективности антимонопольного комплаенса (далее - КПЭ) как для уполномоченного подразделения (должностного лица), так и для администрации Татарского района в целом.</w:t>
      </w:r>
    </w:p>
    <w:p w:rsidR="008C7F68" w:rsidRPr="00B14E7F" w:rsidRDefault="00FB351D" w:rsidP="008C7F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E7F">
        <w:rPr>
          <w:rFonts w:ascii="Times New Roman" w:hAnsi="Times New Roman" w:cs="Times New Roman"/>
          <w:sz w:val="28"/>
          <w:szCs w:val="28"/>
        </w:rPr>
        <w:t xml:space="preserve">Ключевыми показателями эффективности антимонопольного комплаенса для администрации Татарского </w:t>
      </w:r>
      <w:proofErr w:type="gramStart"/>
      <w:r w:rsidRPr="00B14E7F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B14E7F">
        <w:rPr>
          <w:rFonts w:ascii="Times New Roman" w:hAnsi="Times New Roman" w:cs="Times New Roman"/>
          <w:sz w:val="28"/>
          <w:szCs w:val="28"/>
        </w:rPr>
        <w:t xml:space="preserve"> а в целом являются: </w:t>
      </w:r>
    </w:p>
    <w:p w:rsidR="00FB351D" w:rsidRPr="00B14E7F" w:rsidRDefault="00FB351D" w:rsidP="008C7F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E7F">
        <w:rPr>
          <w:rFonts w:ascii="Times New Roman" w:hAnsi="Times New Roman" w:cs="Times New Roman"/>
          <w:sz w:val="28"/>
          <w:szCs w:val="28"/>
        </w:rPr>
        <w:t xml:space="preserve">- Коэффициент снижения количества нарушений антимонопольного законодательства со стороны администрации Татарского района по сравнению с предыдущим годом; </w:t>
      </w:r>
    </w:p>
    <w:p w:rsidR="00FB351D" w:rsidRPr="00B14E7F" w:rsidRDefault="00FB351D" w:rsidP="008C7F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E7F">
        <w:rPr>
          <w:rFonts w:ascii="Times New Roman" w:hAnsi="Times New Roman" w:cs="Times New Roman"/>
          <w:sz w:val="28"/>
          <w:szCs w:val="28"/>
        </w:rPr>
        <w:t xml:space="preserve">- Доля проектов нормативно-правовых актов администрации Татарского района, в которых выявлены риски нарушения антимонопольного законодательства; </w:t>
      </w:r>
    </w:p>
    <w:p w:rsidR="00FB351D" w:rsidRPr="00B14E7F" w:rsidRDefault="00FB351D" w:rsidP="008C7F6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E7F">
        <w:rPr>
          <w:rFonts w:ascii="Times New Roman" w:hAnsi="Times New Roman" w:cs="Times New Roman"/>
          <w:sz w:val="28"/>
          <w:szCs w:val="28"/>
        </w:rPr>
        <w:t xml:space="preserve">- Доля нормативно-правовых актов администрации Татарского района, в которых выявлены риски нарушения антимонопольного законодательства. </w:t>
      </w:r>
    </w:p>
    <w:p w:rsidR="00B14E7F" w:rsidRPr="0041550F" w:rsidRDefault="00B14E7F" w:rsidP="00B14E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50F">
        <w:rPr>
          <w:rFonts w:ascii="Times New Roman" w:hAnsi="Times New Roman" w:cs="Times New Roman"/>
          <w:sz w:val="28"/>
          <w:szCs w:val="28"/>
        </w:rPr>
        <w:t>Для уполномоченного подразделения (должностного лица) рассчитыва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550F">
        <w:rPr>
          <w:rFonts w:ascii="Times New Roman" w:hAnsi="Times New Roman" w:cs="Times New Roman"/>
          <w:sz w:val="28"/>
          <w:szCs w:val="28"/>
        </w:rPr>
        <w:t xml:space="preserve">тся следующий </w:t>
      </w:r>
      <w:r>
        <w:rPr>
          <w:rFonts w:ascii="Times New Roman" w:hAnsi="Times New Roman" w:cs="Times New Roman"/>
          <w:sz w:val="28"/>
          <w:szCs w:val="28"/>
        </w:rPr>
        <w:t>ключевой показатель эффективности</w:t>
      </w:r>
      <w:r w:rsidRPr="004155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4E7F" w:rsidRPr="0041550F" w:rsidRDefault="00B14E7F" w:rsidP="00B14E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32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1550F">
        <w:rPr>
          <w:rFonts w:ascii="Times New Roman" w:hAnsi="Times New Roman" w:cs="Times New Roman"/>
          <w:sz w:val="28"/>
          <w:szCs w:val="28"/>
        </w:rPr>
        <w:t xml:space="preserve">оля сотрудников администрации </w:t>
      </w:r>
      <w:r w:rsidRPr="004D632A">
        <w:rPr>
          <w:rFonts w:ascii="Times New Roman" w:hAnsi="Times New Roman" w:cs="Times New Roman"/>
          <w:sz w:val="28"/>
          <w:szCs w:val="28"/>
        </w:rPr>
        <w:t>Татарского</w:t>
      </w:r>
      <w:r w:rsidRPr="0041550F">
        <w:rPr>
          <w:rFonts w:ascii="Times New Roman" w:hAnsi="Times New Roman" w:cs="Times New Roman"/>
          <w:sz w:val="28"/>
          <w:szCs w:val="28"/>
        </w:rPr>
        <w:t xml:space="preserve"> района, в отношении которых были проведены обучающие мероприятия по антимонопольному законодательству и антимонопольному комплаенсу. </w:t>
      </w:r>
    </w:p>
    <w:p w:rsidR="00B14E7F" w:rsidRDefault="00B14E7F" w:rsidP="00B14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проведенной оценки достижения КПЭ антимонопольного комплаенса в администрации Татарского района за 2020 год получены следующие результаты:</w:t>
      </w:r>
    </w:p>
    <w:p w:rsidR="00B14E7F" w:rsidRDefault="00B14E7F" w:rsidP="00B14E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E7F">
        <w:rPr>
          <w:rFonts w:ascii="Times New Roman" w:hAnsi="Times New Roman" w:cs="Times New Roman"/>
          <w:sz w:val="28"/>
          <w:szCs w:val="28"/>
        </w:rPr>
        <w:t xml:space="preserve">- Коэффициент снижения количества нарушений антимонопольного законодательства со стороны администрации Татарского района по сравнению с предыдущим годом - 0; </w:t>
      </w:r>
    </w:p>
    <w:p w:rsidR="002B2A3D" w:rsidRPr="0041550F" w:rsidRDefault="002B2A3D" w:rsidP="002B2A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50F">
        <w:rPr>
          <w:rFonts w:ascii="Times New Roman" w:hAnsi="Times New Roman" w:cs="Times New Roman"/>
          <w:sz w:val="28"/>
          <w:szCs w:val="28"/>
        </w:rPr>
        <w:t xml:space="preserve">При расчете </w:t>
      </w:r>
      <w:r>
        <w:rPr>
          <w:rFonts w:ascii="Times New Roman" w:hAnsi="Times New Roman" w:cs="Times New Roman"/>
          <w:sz w:val="28"/>
          <w:szCs w:val="28"/>
        </w:rPr>
        <w:t xml:space="preserve">данного показателя </w:t>
      </w:r>
      <w:r w:rsidR="00F4032F">
        <w:rPr>
          <w:rFonts w:ascii="Times New Roman" w:hAnsi="Times New Roman" w:cs="Times New Roman"/>
          <w:sz w:val="28"/>
          <w:szCs w:val="28"/>
        </w:rPr>
        <w:t>п</w:t>
      </w:r>
      <w:r w:rsidRPr="0041550F">
        <w:rPr>
          <w:rFonts w:ascii="Times New Roman" w:hAnsi="Times New Roman" w:cs="Times New Roman"/>
          <w:sz w:val="28"/>
          <w:szCs w:val="28"/>
        </w:rPr>
        <w:t xml:space="preserve">од нарушением антимонопольного законодательства со стороны </w:t>
      </w:r>
      <w:r>
        <w:rPr>
          <w:rFonts w:ascii="Times New Roman" w:hAnsi="Times New Roman" w:cs="Times New Roman"/>
          <w:sz w:val="28"/>
          <w:szCs w:val="28"/>
        </w:rPr>
        <w:t>Татарского</w:t>
      </w:r>
      <w:r w:rsidRPr="0041550F">
        <w:rPr>
          <w:rFonts w:ascii="Times New Roman" w:hAnsi="Times New Roman" w:cs="Times New Roman"/>
          <w:sz w:val="28"/>
          <w:szCs w:val="28"/>
        </w:rPr>
        <w:t xml:space="preserve"> района понимаются: </w:t>
      </w:r>
    </w:p>
    <w:p w:rsidR="002B2A3D" w:rsidRPr="0041550F" w:rsidRDefault="002B2A3D" w:rsidP="002B2A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6F9">
        <w:rPr>
          <w:rFonts w:ascii="Times New Roman" w:hAnsi="Times New Roman" w:cs="Times New Roman"/>
          <w:sz w:val="28"/>
          <w:szCs w:val="28"/>
        </w:rPr>
        <w:t xml:space="preserve">- </w:t>
      </w:r>
      <w:r w:rsidRPr="0041550F">
        <w:rPr>
          <w:rFonts w:ascii="Times New Roman" w:hAnsi="Times New Roman" w:cs="Times New Roman"/>
          <w:sz w:val="28"/>
          <w:szCs w:val="28"/>
        </w:rPr>
        <w:t xml:space="preserve">возбужденные антимонопольным органом в отношении администрации </w:t>
      </w:r>
      <w:r w:rsidRPr="007956F9">
        <w:rPr>
          <w:rFonts w:ascii="Times New Roman" w:hAnsi="Times New Roman" w:cs="Times New Roman"/>
          <w:sz w:val="28"/>
          <w:szCs w:val="28"/>
        </w:rPr>
        <w:t>Татарского</w:t>
      </w:r>
      <w:r w:rsidRPr="0041550F">
        <w:rPr>
          <w:rFonts w:ascii="Times New Roman" w:hAnsi="Times New Roman" w:cs="Times New Roman"/>
          <w:sz w:val="28"/>
          <w:szCs w:val="28"/>
        </w:rPr>
        <w:t xml:space="preserve"> района антимонопольные дела</w:t>
      </w:r>
      <w:r>
        <w:rPr>
          <w:rFonts w:ascii="Times New Roman" w:hAnsi="Times New Roman" w:cs="Times New Roman"/>
          <w:sz w:val="28"/>
          <w:szCs w:val="28"/>
        </w:rPr>
        <w:t xml:space="preserve"> – за 2020 год - 0</w:t>
      </w:r>
      <w:r w:rsidRPr="004155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2A3D" w:rsidRPr="0041550F" w:rsidRDefault="002B2A3D" w:rsidP="002B2A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3F5A">
        <w:rPr>
          <w:rFonts w:ascii="Times New Roman" w:hAnsi="Times New Roman" w:cs="Times New Roman"/>
          <w:sz w:val="28"/>
          <w:szCs w:val="28"/>
        </w:rPr>
        <w:t>- выданные юридическим отделом администрации 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(юридическим отделом) </w:t>
      </w:r>
      <w:r w:rsidRPr="007B3F5A">
        <w:rPr>
          <w:rFonts w:ascii="Times New Roman" w:hAnsi="Times New Roman" w:cs="Times New Roman"/>
          <w:sz w:val="28"/>
          <w:szCs w:val="28"/>
        </w:rPr>
        <w:t xml:space="preserve">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</w:t>
      </w:r>
      <w:r>
        <w:rPr>
          <w:rFonts w:ascii="Times New Roman" w:hAnsi="Times New Roman" w:cs="Times New Roman"/>
          <w:sz w:val="28"/>
          <w:szCs w:val="28"/>
        </w:rPr>
        <w:t xml:space="preserve"> – за 2020 год - 0</w:t>
      </w:r>
      <w:r w:rsidRPr="007B3F5A">
        <w:rPr>
          <w:rFonts w:ascii="Times New Roman" w:hAnsi="Times New Roman" w:cs="Times New Roman"/>
          <w:sz w:val="28"/>
          <w:szCs w:val="28"/>
        </w:rPr>
        <w:t>;</w:t>
      </w:r>
      <w:r w:rsidRPr="004155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B2A3D" w:rsidRPr="0041550F" w:rsidRDefault="002B2A3D" w:rsidP="002B2A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50F">
        <w:rPr>
          <w:rFonts w:ascii="Times New Roman" w:hAnsi="Times New Roman" w:cs="Times New Roman"/>
          <w:sz w:val="28"/>
          <w:szCs w:val="28"/>
        </w:rPr>
        <w:t xml:space="preserve">- направленные антимонопольным органом </w:t>
      </w:r>
      <w:r w:rsidRPr="00B43EBB">
        <w:rPr>
          <w:rFonts w:ascii="Times New Roman" w:hAnsi="Times New Roman" w:cs="Times New Roman"/>
          <w:sz w:val="28"/>
          <w:szCs w:val="28"/>
        </w:rPr>
        <w:t xml:space="preserve">в </w:t>
      </w:r>
      <w:r w:rsidRPr="0041550F">
        <w:rPr>
          <w:rFonts w:ascii="Times New Roman" w:hAnsi="Times New Roman" w:cs="Times New Roman"/>
          <w:sz w:val="28"/>
          <w:szCs w:val="28"/>
        </w:rPr>
        <w:t>администраци</w:t>
      </w:r>
      <w:r w:rsidRPr="00B43EBB">
        <w:rPr>
          <w:rFonts w:ascii="Times New Roman" w:hAnsi="Times New Roman" w:cs="Times New Roman"/>
          <w:sz w:val="28"/>
          <w:szCs w:val="28"/>
        </w:rPr>
        <w:t>ю</w:t>
      </w:r>
      <w:r w:rsidRPr="0041550F">
        <w:rPr>
          <w:rFonts w:ascii="Times New Roman" w:hAnsi="Times New Roman" w:cs="Times New Roman"/>
          <w:sz w:val="28"/>
          <w:szCs w:val="28"/>
        </w:rPr>
        <w:t xml:space="preserve"> </w:t>
      </w:r>
      <w:r w:rsidRPr="00B43EBB">
        <w:rPr>
          <w:rFonts w:ascii="Times New Roman" w:hAnsi="Times New Roman" w:cs="Times New Roman"/>
          <w:sz w:val="28"/>
          <w:szCs w:val="28"/>
        </w:rPr>
        <w:t>Татарского</w:t>
      </w:r>
      <w:r w:rsidRPr="0041550F">
        <w:rPr>
          <w:rFonts w:ascii="Times New Roman" w:hAnsi="Times New Roman" w:cs="Times New Roman"/>
          <w:sz w:val="28"/>
          <w:szCs w:val="28"/>
        </w:rPr>
        <w:t xml:space="preserve"> района предостережения о недопустимости совершения действий, которые могут привести к нарушению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– за 2020 год - 0</w:t>
      </w:r>
      <w:r w:rsidRPr="004155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2A3D" w:rsidRPr="00B14E7F" w:rsidRDefault="002B2A3D" w:rsidP="00B14E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E7F" w:rsidRDefault="00B14E7F" w:rsidP="00B14E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81A">
        <w:rPr>
          <w:rFonts w:ascii="Times New Roman" w:hAnsi="Times New Roman" w:cs="Times New Roman"/>
          <w:sz w:val="28"/>
          <w:szCs w:val="28"/>
        </w:rPr>
        <w:t>- Доля проектов нормативно-правовых актов администрации Татарского района, в которых выявлены риски нарушения антимонопольного законодательства -</w:t>
      </w:r>
      <w:r w:rsidR="00B0181A" w:rsidRPr="00B0181A">
        <w:rPr>
          <w:rFonts w:ascii="Times New Roman" w:hAnsi="Times New Roman" w:cs="Times New Roman"/>
          <w:sz w:val="28"/>
          <w:szCs w:val="28"/>
        </w:rPr>
        <w:t>0</w:t>
      </w:r>
      <w:r w:rsidRPr="00B018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032F" w:rsidRDefault="00F4032F" w:rsidP="00F403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данного показателя за основу берутся: </w:t>
      </w:r>
    </w:p>
    <w:p w:rsidR="00F4032F" w:rsidRPr="007B3F5A" w:rsidRDefault="00F4032F" w:rsidP="00F403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3F5A">
        <w:rPr>
          <w:rFonts w:ascii="Times New Roman" w:hAnsi="Times New Roman" w:cs="Times New Roman"/>
          <w:sz w:val="28"/>
          <w:szCs w:val="28"/>
        </w:rPr>
        <w:t xml:space="preserve">количество проектов нормативных правовых актов администрации Татарского района, в которых юридическим отделом выявлены риски нарушения антимонопольного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>– за 2020 год – 0;</w:t>
      </w:r>
      <w:r w:rsidRPr="007B3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32F" w:rsidRPr="0041550F" w:rsidRDefault="00F4032F" w:rsidP="00F403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F5A">
        <w:rPr>
          <w:rFonts w:ascii="Times New Roman" w:hAnsi="Times New Roman" w:cs="Times New Roman"/>
          <w:sz w:val="28"/>
          <w:szCs w:val="28"/>
        </w:rPr>
        <w:t xml:space="preserve">- количество нормативных правовых актов администрации Татарского района, в которых юридическим отделом выявлены нарушения антимонопольного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>– за 2020 год – 0.</w:t>
      </w:r>
      <w:r w:rsidRPr="00415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32F" w:rsidRPr="00B0181A" w:rsidRDefault="00F4032F" w:rsidP="00B14E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000" w:rsidRDefault="00B14E7F" w:rsidP="005D2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81A">
        <w:rPr>
          <w:rFonts w:ascii="Times New Roman" w:hAnsi="Times New Roman" w:cs="Times New Roman"/>
          <w:color w:val="000000" w:themeColor="text1"/>
          <w:sz w:val="28"/>
          <w:szCs w:val="28"/>
        </w:rPr>
        <w:t>- Доля нормативно-правовых актов администрации Татарского района, в которых выявлены риски нарушения антимонопольного законодательства</w:t>
      </w:r>
      <w:r w:rsidR="00B0181A" w:rsidRPr="00B01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-0;</w:t>
      </w:r>
      <w:r w:rsidRPr="00B01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2000" w:rsidRDefault="005D2000" w:rsidP="005D2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данного показателя за основу берутся: </w:t>
      </w:r>
    </w:p>
    <w:p w:rsidR="005D2000" w:rsidRPr="0041550F" w:rsidRDefault="005D2000" w:rsidP="005D2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50F">
        <w:rPr>
          <w:rFonts w:ascii="Times New Roman" w:hAnsi="Times New Roman" w:cs="Times New Roman"/>
          <w:sz w:val="28"/>
          <w:szCs w:val="28"/>
        </w:rPr>
        <w:t xml:space="preserve">- количество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Татарского</w:t>
      </w:r>
      <w:r w:rsidRPr="004155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550F">
        <w:rPr>
          <w:rFonts w:ascii="Times New Roman" w:hAnsi="Times New Roman" w:cs="Times New Roman"/>
          <w:sz w:val="28"/>
          <w:szCs w:val="28"/>
        </w:rPr>
        <w:t xml:space="preserve">района, в которых </w:t>
      </w:r>
      <w:r>
        <w:rPr>
          <w:rFonts w:ascii="Times New Roman" w:hAnsi="Times New Roman" w:cs="Times New Roman"/>
          <w:sz w:val="28"/>
          <w:szCs w:val="28"/>
        </w:rPr>
        <w:t>юридическим отделом</w:t>
      </w:r>
      <w:r w:rsidRPr="0041550F">
        <w:rPr>
          <w:rFonts w:ascii="Times New Roman" w:hAnsi="Times New Roman" w:cs="Times New Roman"/>
          <w:sz w:val="28"/>
          <w:szCs w:val="28"/>
        </w:rPr>
        <w:t xml:space="preserve"> выявлены риски нарушения антимонопольного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>– за 2020 год - 0</w:t>
      </w:r>
      <w:r w:rsidRPr="004155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2000" w:rsidRPr="0041550F" w:rsidRDefault="005D2000" w:rsidP="005D2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50F">
        <w:rPr>
          <w:rFonts w:ascii="Times New Roman" w:hAnsi="Times New Roman" w:cs="Times New Roman"/>
          <w:sz w:val="28"/>
          <w:szCs w:val="28"/>
        </w:rPr>
        <w:t xml:space="preserve">- количество нормативных правовых актов администрации </w:t>
      </w:r>
      <w:r w:rsidRPr="006F7FA8">
        <w:rPr>
          <w:rFonts w:ascii="Times New Roman" w:hAnsi="Times New Roman" w:cs="Times New Roman"/>
          <w:sz w:val="28"/>
          <w:szCs w:val="28"/>
        </w:rPr>
        <w:t>Татарского</w:t>
      </w:r>
      <w:r w:rsidRPr="0041550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550F">
        <w:rPr>
          <w:rFonts w:ascii="Times New Roman" w:hAnsi="Times New Roman" w:cs="Times New Roman"/>
          <w:sz w:val="28"/>
          <w:szCs w:val="28"/>
        </w:rPr>
        <w:t xml:space="preserve"> в которых антимонопольным органом выявлены нарушения антимонопольного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>– за 2020 год - 0</w:t>
      </w:r>
      <w:r w:rsidRPr="004155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000" w:rsidRPr="00B0181A" w:rsidRDefault="005D2000" w:rsidP="005D200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4E7F" w:rsidRDefault="00B14E7F" w:rsidP="00B14E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18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Доля сотрудников администрации Татарского района, в отношении которых были проведены обучающие мероприятия по антимонопольному законодательству и антимонопольному комплаенсу</w:t>
      </w:r>
      <w:r w:rsidR="00B01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</w:t>
      </w:r>
      <w:r w:rsidRPr="00B018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018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44EDC" w:rsidRDefault="00F44EDC" w:rsidP="00F44E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данного показателя за основу берутся: </w:t>
      </w:r>
    </w:p>
    <w:p w:rsidR="00F44EDC" w:rsidRPr="0041550F" w:rsidRDefault="00F44EDC" w:rsidP="00F44E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50F">
        <w:rPr>
          <w:rFonts w:ascii="Times New Roman" w:hAnsi="Times New Roman" w:cs="Times New Roman"/>
          <w:sz w:val="28"/>
          <w:szCs w:val="28"/>
        </w:rPr>
        <w:t xml:space="preserve">- количество сотрудников администрации </w:t>
      </w:r>
      <w:r w:rsidRPr="00587054">
        <w:rPr>
          <w:rFonts w:ascii="Times New Roman" w:hAnsi="Times New Roman" w:cs="Times New Roman"/>
          <w:sz w:val="28"/>
          <w:szCs w:val="28"/>
        </w:rPr>
        <w:t>Татарского</w:t>
      </w:r>
      <w:r w:rsidRPr="0041550F">
        <w:rPr>
          <w:rFonts w:ascii="Times New Roman" w:hAnsi="Times New Roman" w:cs="Times New Roman"/>
          <w:sz w:val="28"/>
          <w:szCs w:val="28"/>
        </w:rPr>
        <w:t xml:space="preserve"> района, с которыми были проведены обучающие мероприятия по антимонопольному законодательству и антимонопольному комплаенсу</w:t>
      </w:r>
      <w:r>
        <w:rPr>
          <w:rFonts w:ascii="Times New Roman" w:hAnsi="Times New Roman" w:cs="Times New Roman"/>
          <w:sz w:val="28"/>
          <w:szCs w:val="28"/>
        </w:rPr>
        <w:t xml:space="preserve"> – за 2020 год - 6</w:t>
      </w:r>
      <w:r w:rsidRPr="004155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4EDC" w:rsidRPr="0041550F" w:rsidRDefault="00F44EDC" w:rsidP="00F44E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50F">
        <w:rPr>
          <w:rFonts w:ascii="Times New Roman" w:hAnsi="Times New Roman" w:cs="Times New Roman"/>
          <w:sz w:val="28"/>
          <w:szCs w:val="28"/>
        </w:rPr>
        <w:t xml:space="preserve">- общее количество сотрудников администрации </w:t>
      </w:r>
      <w:r w:rsidRPr="00587054">
        <w:rPr>
          <w:rFonts w:ascii="Times New Roman" w:hAnsi="Times New Roman" w:cs="Times New Roman"/>
          <w:sz w:val="28"/>
          <w:szCs w:val="28"/>
        </w:rPr>
        <w:t>Татарского</w:t>
      </w:r>
      <w:r w:rsidRPr="0041550F">
        <w:rPr>
          <w:rFonts w:ascii="Times New Roman" w:hAnsi="Times New Roman" w:cs="Times New Roman"/>
          <w:sz w:val="28"/>
          <w:szCs w:val="28"/>
        </w:rPr>
        <w:t xml:space="preserve"> района, чьи трудовые (должностные) обязанности предусматривают выполнение функций, связанных с рисками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– за 2020 год - 6</w:t>
      </w:r>
      <w:r w:rsidRPr="004155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3EF1" w:rsidRPr="00A13EF1" w:rsidRDefault="00A13EF1" w:rsidP="00A13EF1">
      <w:pPr>
        <w:widowControl w:val="0"/>
        <w:tabs>
          <w:tab w:val="left" w:pos="851"/>
        </w:tabs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EF1">
        <w:rPr>
          <w:rFonts w:ascii="Times New Roman" w:hAnsi="Times New Roman" w:cs="Times New Roman"/>
          <w:sz w:val="28"/>
          <w:szCs w:val="28"/>
        </w:rPr>
        <w:t>Утвержденные ключевые показатели эффективности функционирования антимонопольного комплаенса в администрации Татарского района в 2020 году выполнены в полном объеме.</w:t>
      </w:r>
    </w:p>
    <w:p w:rsidR="00F44EDC" w:rsidRPr="00A13EF1" w:rsidRDefault="00F44EDC" w:rsidP="00B14E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E7F" w:rsidRPr="00B0181A" w:rsidRDefault="00B14E7F" w:rsidP="008C7F6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4E7F" w:rsidRDefault="00B14E7F" w:rsidP="008C7F6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4E7F" w:rsidRDefault="00B14E7F" w:rsidP="008C7F6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4E7F" w:rsidRPr="00FB351D" w:rsidRDefault="00B14E7F" w:rsidP="008C7F6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14E7F" w:rsidRPr="00FB351D" w:rsidSect="001D700D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7613D"/>
    <w:multiLevelType w:val="multilevel"/>
    <w:tmpl w:val="289AEC02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639223D"/>
    <w:multiLevelType w:val="hybridMultilevel"/>
    <w:tmpl w:val="56B0081C"/>
    <w:lvl w:ilvl="0" w:tplc="0419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">
    <w:nsid w:val="29985859"/>
    <w:multiLevelType w:val="hybridMultilevel"/>
    <w:tmpl w:val="2878FB1A"/>
    <w:lvl w:ilvl="0" w:tplc="03D2D3C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8CF1867"/>
    <w:multiLevelType w:val="multilevel"/>
    <w:tmpl w:val="D07A73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57A"/>
    <w:rsid w:val="0002682B"/>
    <w:rsid w:val="00073AF3"/>
    <w:rsid w:val="00092EBC"/>
    <w:rsid w:val="000A34B3"/>
    <w:rsid w:val="000D0A9E"/>
    <w:rsid w:val="000D224A"/>
    <w:rsid w:val="000D5D82"/>
    <w:rsid w:val="000F4398"/>
    <w:rsid w:val="00101169"/>
    <w:rsid w:val="001126A8"/>
    <w:rsid w:val="001307A5"/>
    <w:rsid w:val="00133B66"/>
    <w:rsid w:val="00146869"/>
    <w:rsid w:val="00161172"/>
    <w:rsid w:val="0018709B"/>
    <w:rsid w:val="00191519"/>
    <w:rsid w:val="00193D6B"/>
    <w:rsid w:val="001C54FE"/>
    <w:rsid w:val="001D367A"/>
    <w:rsid w:val="001D700D"/>
    <w:rsid w:val="001E3CF8"/>
    <w:rsid w:val="00214812"/>
    <w:rsid w:val="002229B1"/>
    <w:rsid w:val="00261548"/>
    <w:rsid w:val="00274444"/>
    <w:rsid w:val="00280A2F"/>
    <w:rsid w:val="002931B4"/>
    <w:rsid w:val="002958AA"/>
    <w:rsid w:val="002B0F49"/>
    <w:rsid w:val="002B2A3D"/>
    <w:rsid w:val="002F257A"/>
    <w:rsid w:val="0033067A"/>
    <w:rsid w:val="00335B11"/>
    <w:rsid w:val="00340BC5"/>
    <w:rsid w:val="003631ED"/>
    <w:rsid w:val="003718A6"/>
    <w:rsid w:val="003724F2"/>
    <w:rsid w:val="0039051C"/>
    <w:rsid w:val="00393DA2"/>
    <w:rsid w:val="003C2496"/>
    <w:rsid w:val="003D656C"/>
    <w:rsid w:val="003E5813"/>
    <w:rsid w:val="003E6514"/>
    <w:rsid w:val="00401BC0"/>
    <w:rsid w:val="00416E5B"/>
    <w:rsid w:val="00417A38"/>
    <w:rsid w:val="00423167"/>
    <w:rsid w:val="00424A5D"/>
    <w:rsid w:val="00443F9F"/>
    <w:rsid w:val="0044533A"/>
    <w:rsid w:val="004538BF"/>
    <w:rsid w:val="00462CD3"/>
    <w:rsid w:val="0047391A"/>
    <w:rsid w:val="004812D9"/>
    <w:rsid w:val="004816C5"/>
    <w:rsid w:val="004B0EAE"/>
    <w:rsid w:val="004B1655"/>
    <w:rsid w:val="004B5C10"/>
    <w:rsid w:val="004B607F"/>
    <w:rsid w:val="004B62FB"/>
    <w:rsid w:val="004D204D"/>
    <w:rsid w:val="004D4EC1"/>
    <w:rsid w:val="004E6267"/>
    <w:rsid w:val="005070E7"/>
    <w:rsid w:val="00540E63"/>
    <w:rsid w:val="00554707"/>
    <w:rsid w:val="00560FB1"/>
    <w:rsid w:val="0057018A"/>
    <w:rsid w:val="00587424"/>
    <w:rsid w:val="00592CEF"/>
    <w:rsid w:val="00596D93"/>
    <w:rsid w:val="005A0992"/>
    <w:rsid w:val="005C14BC"/>
    <w:rsid w:val="005C165C"/>
    <w:rsid w:val="005C51D4"/>
    <w:rsid w:val="005D2000"/>
    <w:rsid w:val="005D2245"/>
    <w:rsid w:val="005E1CD8"/>
    <w:rsid w:val="00604D7C"/>
    <w:rsid w:val="00616B37"/>
    <w:rsid w:val="00617EFE"/>
    <w:rsid w:val="0062418B"/>
    <w:rsid w:val="00631787"/>
    <w:rsid w:val="00642525"/>
    <w:rsid w:val="00652CFA"/>
    <w:rsid w:val="00682C8A"/>
    <w:rsid w:val="006940D0"/>
    <w:rsid w:val="00696C94"/>
    <w:rsid w:val="006A2961"/>
    <w:rsid w:val="006B2399"/>
    <w:rsid w:val="006C23CB"/>
    <w:rsid w:val="006C264A"/>
    <w:rsid w:val="006C7093"/>
    <w:rsid w:val="006D4979"/>
    <w:rsid w:val="006F4602"/>
    <w:rsid w:val="006F7AA3"/>
    <w:rsid w:val="007136BA"/>
    <w:rsid w:val="00720223"/>
    <w:rsid w:val="007237A8"/>
    <w:rsid w:val="007320E7"/>
    <w:rsid w:val="0073346F"/>
    <w:rsid w:val="007804D9"/>
    <w:rsid w:val="00792100"/>
    <w:rsid w:val="007928F1"/>
    <w:rsid w:val="007A69A4"/>
    <w:rsid w:val="007B22A6"/>
    <w:rsid w:val="007E2A16"/>
    <w:rsid w:val="007E6C07"/>
    <w:rsid w:val="00802EC3"/>
    <w:rsid w:val="00807384"/>
    <w:rsid w:val="008740F1"/>
    <w:rsid w:val="008754DA"/>
    <w:rsid w:val="00882E58"/>
    <w:rsid w:val="008B0C95"/>
    <w:rsid w:val="008C38C5"/>
    <w:rsid w:val="008C59BB"/>
    <w:rsid w:val="008C7F68"/>
    <w:rsid w:val="00943FA4"/>
    <w:rsid w:val="00953988"/>
    <w:rsid w:val="00971498"/>
    <w:rsid w:val="00993EAB"/>
    <w:rsid w:val="009A60C3"/>
    <w:rsid w:val="009B1CEF"/>
    <w:rsid w:val="009B5425"/>
    <w:rsid w:val="009C4511"/>
    <w:rsid w:val="009C69DD"/>
    <w:rsid w:val="009F5377"/>
    <w:rsid w:val="009F54BB"/>
    <w:rsid w:val="009F69C7"/>
    <w:rsid w:val="00A017F0"/>
    <w:rsid w:val="00A13EF1"/>
    <w:rsid w:val="00A25F02"/>
    <w:rsid w:val="00A47C44"/>
    <w:rsid w:val="00A60B88"/>
    <w:rsid w:val="00A619F8"/>
    <w:rsid w:val="00A66E19"/>
    <w:rsid w:val="00A66EFE"/>
    <w:rsid w:val="00A84728"/>
    <w:rsid w:val="00AB7700"/>
    <w:rsid w:val="00AC0B44"/>
    <w:rsid w:val="00AC3FF5"/>
    <w:rsid w:val="00AC5840"/>
    <w:rsid w:val="00AE5EEA"/>
    <w:rsid w:val="00B0181A"/>
    <w:rsid w:val="00B11CB3"/>
    <w:rsid w:val="00B14E7F"/>
    <w:rsid w:val="00B271DD"/>
    <w:rsid w:val="00BB1C45"/>
    <w:rsid w:val="00BC1F49"/>
    <w:rsid w:val="00BD1CBA"/>
    <w:rsid w:val="00BD3171"/>
    <w:rsid w:val="00BE0352"/>
    <w:rsid w:val="00BF796E"/>
    <w:rsid w:val="00C02088"/>
    <w:rsid w:val="00C11485"/>
    <w:rsid w:val="00C35DE4"/>
    <w:rsid w:val="00C366A4"/>
    <w:rsid w:val="00C40273"/>
    <w:rsid w:val="00C625A1"/>
    <w:rsid w:val="00C85AC2"/>
    <w:rsid w:val="00C87672"/>
    <w:rsid w:val="00CD39BE"/>
    <w:rsid w:val="00CE7432"/>
    <w:rsid w:val="00D17B60"/>
    <w:rsid w:val="00D356C7"/>
    <w:rsid w:val="00D3605E"/>
    <w:rsid w:val="00D40EC2"/>
    <w:rsid w:val="00D55D66"/>
    <w:rsid w:val="00D73FDC"/>
    <w:rsid w:val="00D76AC7"/>
    <w:rsid w:val="00D86B5B"/>
    <w:rsid w:val="00D913A2"/>
    <w:rsid w:val="00D96F61"/>
    <w:rsid w:val="00DA3BE6"/>
    <w:rsid w:val="00DA5125"/>
    <w:rsid w:val="00DB717D"/>
    <w:rsid w:val="00DD466A"/>
    <w:rsid w:val="00E22FEF"/>
    <w:rsid w:val="00E613EA"/>
    <w:rsid w:val="00E9006A"/>
    <w:rsid w:val="00E90793"/>
    <w:rsid w:val="00E93148"/>
    <w:rsid w:val="00EA6234"/>
    <w:rsid w:val="00EC2C70"/>
    <w:rsid w:val="00EE3E89"/>
    <w:rsid w:val="00EF1C7E"/>
    <w:rsid w:val="00EF7E89"/>
    <w:rsid w:val="00F4032F"/>
    <w:rsid w:val="00F44EDC"/>
    <w:rsid w:val="00F70C14"/>
    <w:rsid w:val="00F82B3B"/>
    <w:rsid w:val="00FA0037"/>
    <w:rsid w:val="00FA6D29"/>
    <w:rsid w:val="00FB351D"/>
    <w:rsid w:val="00FE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958AA"/>
    <w:rPr>
      <w:sz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2958AA"/>
    <w:pPr>
      <w:widowControl w:val="0"/>
      <w:shd w:val="clear" w:color="auto" w:fill="FFFFFF"/>
      <w:spacing w:after="0" w:line="322" w:lineRule="exact"/>
      <w:jc w:val="center"/>
    </w:pPr>
    <w:rPr>
      <w:sz w:val="26"/>
    </w:rPr>
  </w:style>
  <w:style w:type="character" w:styleId="a4">
    <w:name w:val="Hyperlink"/>
    <w:basedOn w:val="a0"/>
    <w:uiPriority w:val="99"/>
    <w:unhideWhenUsed/>
    <w:rsid w:val="00DD466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B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44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F02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rsid w:val="00CE7432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Татьяна Александровна</dc:creator>
  <cp:lastModifiedBy>user</cp:lastModifiedBy>
  <cp:revision>52</cp:revision>
  <cp:lastPrinted>2021-03-15T04:10:00Z</cp:lastPrinted>
  <dcterms:created xsi:type="dcterms:W3CDTF">2020-02-07T05:17:00Z</dcterms:created>
  <dcterms:modified xsi:type="dcterms:W3CDTF">2021-03-24T03:52:00Z</dcterms:modified>
</cp:coreProperties>
</file>